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63AA" w14:textId="49EE2048" w:rsidR="00CD172C" w:rsidRPr="00E354B5" w:rsidRDefault="00E354B5" w:rsidP="00E354B5">
      <w:pPr>
        <w:jc w:val="center"/>
      </w:pPr>
      <w:r w:rsidRPr="00DC1E4B">
        <w:rPr>
          <w:b/>
          <w:sz w:val="30"/>
          <w:szCs w:val="30"/>
        </w:rPr>
        <w:t>ĐẢNG ỦY TẬP ĐOÀN ĐIỆN LỰC VIỆT NAM</w:t>
      </w:r>
      <w:r w:rsidRPr="00DC1E4B">
        <w:rPr>
          <w:b/>
          <w:sz w:val="30"/>
          <w:szCs w:val="30"/>
        </w:rPr>
        <w:br/>
      </w:r>
      <w:r>
        <w:rPr>
          <w:b/>
          <w:sz w:val="28"/>
        </w:rPr>
        <w:t>*</w:t>
      </w:r>
      <w:r>
        <w:rPr>
          <w:b/>
          <w:sz w:val="28"/>
        </w:rPr>
        <w:br/>
      </w:r>
    </w:p>
    <w:p w14:paraId="4D249F66" w14:textId="5E53CA7C" w:rsidR="00E354B5" w:rsidRPr="00E354B5" w:rsidRDefault="00E354B5" w:rsidP="00E354B5">
      <w:pPr>
        <w:spacing w:after="120"/>
        <w:jc w:val="center"/>
        <w:rPr>
          <w:sz w:val="28"/>
          <w:szCs w:val="28"/>
        </w:rPr>
      </w:pPr>
      <w:r w:rsidRPr="00E354B5">
        <w:rPr>
          <w:b/>
          <w:sz w:val="28"/>
          <w:szCs w:val="28"/>
        </w:rPr>
        <w:t>TÀI LIỆU SINH HOẠT CHUYÊN ĐỀ SỐ 1</w:t>
      </w:r>
      <w:r w:rsidRPr="00E354B5">
        <w:rPr>
          <w:b/>
          <w:sz w:val="28"/>
          <w:szCs w:val="28"/>
        </w:rPr>
        <w:t>3</w:t>
      </w:r>
    </w:p>
    <w:p w14:paraId="56105C90" w14:textId="72F9CF0D" w:rsidR="00E354B5" w:rsidRPr="00E354B5" w:rsidRDefault="00E354B5" w:rsidP="00E354B5">
      <w:pPr>
        <w:jc w:val="center"/>
        <w:rPr>
          <w:b/>
          <w:bCs/>
          <w:sz w:val="28"/>
          <w:szCs w:val="28"/>
        </w:rPr>
      </w:pPr>
      <w:r w:rsidRPr="00E354B5">
        <w:rPr>
          <w:b/>
          <w:bCs/>
          <w:sz w:val="28"/>
          <w:szCs w:val="28"/>
        </w:rPr>
        <w:t xml:space="preserve">Nâng cao chất lượng nguồn nhân lực đáp ứng yêu cầu phát triển </w:t>
      </w:r>
    </w:p>
    <w:p w14:paraId="4CBBD5A8" w14:textId="77777777" w:rsidR="00E354B5" w:rsidRDefault="00E354B5" w:rsidP="00E354B5">
      <w:pPr>
        <w:jc w:val="center"/>
        <w:rPr>
          <w:b/>
          <w:bCs/>
          <w:sz w:val="28"/>
          <w:szCs w:val="28"/>
        </w:rPr>
      </w:pPr>
      <w:r w:rsidRPr="00E354B5">
        <w:rPr>
          <w:b/>
          <w:bCs/>
          <w:sz w:val="28"/>
          <w:szCs w:val="28"/>
        </w:rPr>
        <w:t>của Tập đoàn Điện lực Việt Nam</w:t>
      </w:r>
    </w:p>
    <w:p w14:paraId="1CDAF9F7" w14:textId="77777777" w:rsidR="00E354B5" w:rsidRDefault="00E354B5" w:rsidP="00E354B5">
      <w:pPr>
        <w:jc w:val="center"/>
        <w:rPr>
          <w:b/>
          <w:bCs/>
          <w:sz w:val="28"/>
          <w:szCs w:val="28"/>
        </w:rPr>
      </w:pPr>
      <w:r>
        <w:rPr>
          <w:b/>
          <w:bCs/>
          <w:sz w:val="28"/>
          <w:szCs w:val="28"/>
        </w:rPr>
        <w:t>-----</w:t>
      </w:r>
    </w:p>
    <w:p w14:paraId="78D99EDA" w14:textId="77777777" w:rsidR="00E354B5" w:rsidRDefault="00E354B5" w:rsidP="00E354B5">
      <w:pPr>
        <w:jc w:val="both"/>
        <w:rPr>
          <w:b/>
          <w:bCs/>
          <w:sz w:val="28"/>
          <w:szCs w:val="28"/>
        </w:rPr>
      </w:pPr>
    </w:p>
    <w:p w14:paraId="33421CE5" w14:textId="4FAFF85F" w:rsidR="00D20864" w:rsidRPr="00E354B5" w:rsidRDefault="00E354B5" w:rsidP="00E354B5">
      <w:pPr>
        <w:jc w:val="both"/>
        <w:rPr>
          <w:rFonts w:asciiTheme="majorHAnsi" w:hAnsiTheme="majorHAnsi" w:cstheme="majorHAnsi"/>
          <w:spacing w:val="-2"/>
          <w:sz w:val="28"/>
          <w:szCs w:val="28"/>
        </w:rPr>
      </w:pPr>
      <w:r w:rsidRPr="00E354B5">
        <w:rPr>
          <w:rFonts w:asciiTheme="majorHAnsi" w:hAnsiTheme="majorHAnsi" w:cstheme="majorHAnsi"/>
          <w:spacing w:val="-2"/>
          <w:sz w:val="28"/>
          <w:szCs w:val="28"/>
        </w:rPr>
        <w:tab/>
      </w:r>
      <w:r w:rsidR="00D20864" w:rsidRPr="00E354B5">
        <w:rPr>
          <w:rFonts w:asciiTheme="majorHAnsi" w:hAnsiTheme="majorHAnsi" w:cstheme="majorHAnsi"/>
          <w:spacing w:val="-2"/>
          <w:sz w:val="28"/>
          <w:szCs w:val="28"/>
        </w:rPr>
        <w:t>Trong giai đoạn 2021-2025, Tập đoàn Điện lực Việt Nam (EVN) đã thực hiện những bước chuyển mình mạnh mẽ trong việc tinh gọn bộ máy, đẩy mạnh phân cấp và hiện đại hóa quản trị doanh nghiệp, tạo tiền đề vững chắc cho sự phát triển bền vững. Bước sang nhiệm kỳ 2025-2030, Nghị quyết Đại hội đại biểu Đảng bộ EVN lần thứ IV đã xác định "Quản trị doanh nghiệp minh bạch, tinh gọn, hiệu năng, hiệu lực, hiệu quả" là một trong ba khâu đột phá chiến lược, nhằm xây dựng EVN thành Tập đoàn kinh tế nhà nước mạnh, giữ vai trò trụ cột đảm bảo an ninh năng lượng quốc gia.</w:t>
      </w:r>
    </w:p>
    <w:p w14:paraId="0A5B5623" w14:textId="297148C7" w:rsidR="00D20864" w:rsidRPr="0043515C" w:rsidRDefault="00D20864" w:rsidP="00367071">
      <w:pPr>
        <w:tabs>
          <w:tab w:val="left" w:pos="851"/>
        </w:tabs>
        <w:spacing w:before="120" w:line="252"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Với tầm nhìn trở thành doanh nghiệp số toàn diện vào năm 2030 và vươn tầm vào nhóm 500 doanh nghiệp lớn nhất thế giới, EVN xác định nguồn nhân lực chính là "tài sản quý giá nhất" và là yếu tố then chốt để thực hiện thành công các mục tiêu đột phá. Báo cáo chuyên đề số 13 sẽ đánh giá toàn diện </w:t>
      </w:r>
      <w:r w:rsidR="00400F2C" w:rsidRPr="0043515C">
        <w:rPr>
          <w:rFonts w:asciiTheme="majorHAnsi" w:hAnsiTheme="majorHAnsi" w:cstheme="majorHAnsi"/>
          <w:sz w:val="28"/>
          <w:szCs w:val="28"/>
        </w:rPr>
        <w:t>nguồn nhân lực (</w:t>
      </w:r>
      <w:r w:rsidRPr="0043515C">
        <w:rPr>
          <w:rFonts w:asciiTheme="majorHAnsi" w:hAnsiTheme="majorHAnsi" w:cstheme="majorHAnsi"/>
          <w:sz w:val="28"/>
          <w:szCs w:val="28"/>
        </w:rPr>
        <w:t>NNL</w:t>
      </w:r>
      <w:r w:rsidR="00400F2C" w:rsidRPr="0043515C">
        <w:rPr>
          <w:rFonts w:asciiTheme="majorHAnsi" w:hAnsiTheme="majorHAnsi" w:cstheme="majorHAnsi"/>
          <w:sz w:val="28"/>
          <w:szCs w:val="28"/>
        </w:rPr>
        <w:t>)</w:t>
      </w:r>
      <w:r w:rsidRPr="0043515C">
        <w:rPr>
          <w:rFonts w:asciiTheme="majorHAnsi" w:hAnsiTheme="majorHAnsi" w:cstheme="majorHAnsi"/>
          <w:sz w:val="28"/>
          <w:szCs w:val="28"/>
        </w:rPr>
        <w:t xml:space="preserve"> </w:t>
      </w:r>
      <w:r w:rsidR="000B08E1" w:rsidRPr="0043515C">
        <w:rPr>
          <w:rFonts w:asciiTheme="majorHAnsi" w:hAnsiTheme="majorHAnsi" w:cstheme="majorHAnsi"/>
          <w:sz w:val="28"/>
          <w:szCs w:val="28"/>
        </w:rPr>
        <w:t xml:space="preserve">của EVN </w:t>
      </w:r>
      <w:r w:rsidRPr="0043515C">
        <w:rPr>
          <w:rFonts w:asciiTheme="majorHAnsi" w:hAnsiTheme="majorHAnsi" w:cstheme="majorHAnsi"/>
          <w:sz w:val="28"/>
          <w:szCs w:val="28"/>
        </w:rPr>
        <w:t xml:space="preserve">giai đoạn vừa qua và </w:t>
      </w:r>
      <w:r w:rsidR="000B08E1" w:rsidRPr="0043515C">
        <w:rPr>
          <w:rFonts w:asciiTheme="majorHAnsi" w:hAnsiTheme="majorHAnsi" w:cstheme="majorHAnsi"/>
          <w:sz w:val="28"/>
          <w:szCs w:val="28"/>
        </w:rPr>
        <w:t>định hướng nâng cao chất lượng nguồn nhân lự</w:t>
      </w:r>
      <w:r w:rsidR="00901D17" w:rsidRPr="0043515C">
        <w:rPr>
          <w:rFonts w:asciiTheme="majorHAnsi" w:hAnsiTheme="majorHAnsi" w:cstheme="majorHAnsi"/>
          <w:sz w:val="28"/>
          <w:szCs w:val="28"/>
        </w:rPr>
        <w:t>c</w:t>
      </w:r>
      <w:r w:rsidR="000B08E1" w:rsidRPr="0043515C">
        <w:rPr>
          <w:rFonts w:asciiTheme="majorHAnsi" w:hAnsiTheme="majorHAnsi" w:cstheme="majorHAnsi"/>
          <w:sz w:val="28"/>
          <w:szCs w:val="28"/>
        </w:rPr>
        <w:t xml:space="preserve"> của EVN trong giai đoạn tới</w:t>
      </w:r>
      <w:r w:rsidRPr="0043515C">
        <w:rPr>
          <w:rFonts w:asciiTheme="majorHAnsi" w:hAnsiTheme="majorHAnsi" w:cstheme="majorHAnsi"/>
          <w:sz w:val="28"/>
          <w:szCs w:val="28"/>
        </w:rPr>
        <w:t>.</w:t>
      </w:r>
    </w:p>
    <w:p w14:paraId="30161BD3" w14:textId="5F8AD7DD" w:rsidR="007850AB" w:rsidRPr="0043515C" w:rsidRDefault="007850AB" w:rsidP="00367071">
      <w:pPr>
        <w:tabs>
          <w:tab w:val="left" w:pos="851"/>
        </w:tabs>
        <w:spacing w:before="120" w:line="252" w:lineRule="auto"/>
        <w:ind w:firstLine="567"/>
        <w:jc w:val="both"/>
        <w:rPr>
          <w:rFonts w:asciiTheme="majorHAnsi" w:hAnsiTheme="majorHAnsi" w:cstheme="majorHAnsi"/>
          <w:b/>
          <w:bCs/>
          <w:sz w:val="28"/>
          <w:szCs w:val="28"/>
        </w:rPr>
      </w:pPr>
      <w:r w:rsidRPr="0043515C">
        <w:rPr>
          <w:rFonts w:asciiTheme="majorHAnsi" w:hAnsiTheme="majorHAnsi" w:cstheme="majorHAnsi"/>
          <w:b/>
          <w:bCs/>
          <w:sz w:val="28"/>
          <w:szCs w:val="28"/>
        </w:rPr>
        <w:t>I. Đánh giá</w:t>
      </w:r>
      <w:r w:rsidR="005727F8" w:rsidRPr="0043515C">
        <w:rPr>
          <w:rFonts w:asciiTheme="majorHAnsi" w:hAnsiTheme="majorHAnsi" w:cstheme="majorHAnsi"/>
          <w:b/>
          <w:bCs/>
          <w:sz w:val="28"/>
          <w:szCs w:val="28"/>
        </w:rPr>
        <w:t xml:space="preserve"> kết quả nâng cao chất lượng</w:t>
      </w:r>
      <w:r w:rsidRPr="0043515C">
        <w:rPr>
          <w:rFonts w:asciiTheme="majorHAnsi" w:hAnsiTheme="majorHAnsi" w:cstheme="majorHAnsi"/>
          <w:b/>
          <w:bCs/>
          <w:sz w:val="28"/>
          <w:szCs w:val="28"/>
        </w:rPr>
        <w:t xml:space="preserve"> nguồn nhân lực </w:t>
      </w:r>
      <w:r w:rsidR="000B08E1" w:rsidRPr="0043515C">
        <w:rPr>
          <w:rFonts w:asciiTheme="majorHAnsi" w:hAnsiTheme="majorHAnsi" w:cstheme="majorHAnsi"/>
          <w:b/>
          <w:bCs/>
          <w:sz w:val="28"/>
          <w:szCs w:val="28"/>
        </w:rPr>
        <w:t xml:space="preserve">của EVN </w:t>
      </w:r>
      <w:r w:rsidRPr="0043515C">
        <w:rPr>
          <w:rFonts w:asciiTheme="majorHAnsi" w:hAnsiTheme="majorHAnsi" w:cstheme="majorHAnsi"/>
          <w:b/>
          <w:bCs/>
          <w:sz w:val="28"/>
          <w:szCs w:val="28"/>
        </w:rPr>
        <w:t>giai đoạn 2021-2025</w:t>
      </w:r>
    </w:p>
    <w:p w14:paraId="4A94ACF1" w14:textId="1F1A8FE8" w:rsidR="000B4BFF" w:rsidRPr="0043515C" w:rsidRDefault="000B4BFF" w:rsidP="00367071">
      <w:pPr>
        <w:tabs>
          <w:tab w:val="left" w:pos="851"/>
        </w:tabs>
        <w:spacing w:before="120" w:line="252" w:lineRule="auto"/>
        <w:ind w:firstLine="567"/>
        <w:jc w:val="both"/>
        <w:rPr>
          <w:rFonts w:asciiTheme="majorHAnsi" w:hAnsiTheme="majorHAnsi" w:cstheme="majorHAnsi"/>
          <w:b/>
          <w:bCs/>
          <w:sz w:val="28"/>
          <w:szCs w:val="28"/>
        </w:rPr>
      </w:pPr>
      <w:r w:rsidRPr="0043515C">
        <w:rPr>
          <w:rFonts w:asciiTheme="majorHAnsi" w:hAnsiTheme="majorHAnsi" w:cstheme="majorHAnsi"/>
          <w:b/>
          <w:bCs/>
          <w:sz w:val="28"/>
          <w:szCs w:val="28"/>
        </w:rPr>
        <w:t>1. Tổng quan về cơ cấu nhân sự và năng suất lao động</w:t>
      </w:r>
    </w:p>
    <w:p w14:paraId="64C804B9" w14:textId="77777777" w:rsidR="00272FDF" w:rsidRDefault="0096115D" w:rsidP="00272FDF">
      <w:pPr>
        <w:tabs>
          <w:tab w:val="left" w:pos="851"/>
        </w:tabs>
        <w:spacing w:before="120" w:line="252"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Tại thời điểm cuối tháng 4.2026, EVN có 96.396 lao động. Tổng số lượng lao động của Tập đoàn có xu hướng giảm dần qua các năm mặc dù quy mô và sản lượng điện sản xuất và kinh doanh ngày càng tăng. Năng suất lao động tính theo sản lượng điện thương phẩm/người lao động trong giai đoạn 2021 </w:t>
      </w:r>
      <w:r w:rsidR="005E7DA5">
        <w:rPr>
          <w:rFonts w:asciiTheme="majorHAnsi" w:hAnsiTheme="majorHAnsi" w:cstheme="majorHAnsi"/>
          <w:sz w:val="28"/>
          <w:szCs w:val="28"/>
        </w:rPr>
        <w:t>-</w:t>
      </w:r>
      <w:r w:rsidRPr="0043515C">
        <w:rPr>
          <w:rFonts w:asciiTheme="majorHAnsi" w:hAnsiTheme="majorHAnsi" w:cstheme="majorHAnsi"/>
          <w:sz w:val="28"/>
          <w:szCs w:val="28"/>
        </w:rPr>
        <w:t xml:space="preserve"> 2025 tăng trưởng ổn định ở mức 6,8%/năm, tuy chưa đạt mục tiêu tăng trưởng 8%/năm và sản lượng điện thương phẩm trên đầu người 3,7 triệu kWh như Nghị quyết Đại hội III đã đề ra, nhưng NSLĐ luôn tăng cao hơn tốc độ tăng trưởng phụ tải.</w:t>
      </w:r>
    </w:p>
    <w:p w14:paraId="7CFA416C" w14:textId="652C04FB" w:rsidR="0096115D" w:rsidRPr="0043515C" w:rsidRDefault="0096115D" w:rsidP="00272FDF">
      <w:pPr>
        <w:tabs>
          <w:tab w:val="left" w:pos="851"/>
        </w:tabs>
        <w:spacing w:before="120" w:after="120" w:line="252" w:lineRule="auto"/>
        <w:ind w:firstLine="567"/>
        <w:jc w:val="both"/>
        <w:rPr>
          <w:rFonts w:asciiTheme="majorHAnsi" w:hAnsiTheme="majorHAnsi" w:cstheme="majorHAnsi"/>
          <w:sz w:val="28"/>
          <w:szCs w:val="28"/>
        </w:rPr>
      </w:pPr>
      <w:r w:rsidRPr="0043515C">
        <w:rPr>
          <w:rFonts w:asciiTheme="majorHAnsi" w:hAnsiTheme="majorHAnsi" w:cstheme="majorHAnsi"/>
          <w:b/>
          <w:bCs/>
          <w:sz w:val="28"/>
          <w:szCs w:val="28"/>
        </w:rPr>
        <w:t>Bảng 1.</w:t>
      </w:r>
      <w:r w:rsidRPr="0043515C">
        <w:rPr>
          <w:rFonts w:asciiTheme="majorHAnsi" w:hAnsiTheme="majorHAnsi" w:cstheme="majorHAnsi"/>
          <w:sz w:val="28"/>
          <w:szCs w:val="28"/>
        </w:rPr>
        <w:t xml:space="preserve"> Năng suất lao động giai đoạn 2021-2025</w:t>
      </w:r>
    </w:p>
    <w:tbl>
      <w:tblPr>
        <w:tblW w:w="5000" w:type="pct"/>
        <w:tblLook w:val="04A0" w:firstRow="1" w:lastRow="0" w:firstColumn="1" w:lastColumn="0" w:noHBand="0" w:noVBand="1"/>
      </w:tblPr>
      <w:tblGrid>
        <w:gridCol w:w="2263"/>
        <w:gridCol w:w="2551"/>
        <w:gridCol w:w="1985"/>
        <w:gridCol w:w="2546"/>
      </w:tblGrid>
      <w:tr w:rsidR="00602243" w14:paraId="60870B5A" w14:textId="77777777" w:rsidTr="00602243">
        <w:trPr>
          <w:trHeight w:val="283"/>
        </w:trPr>
        <w:tc>
          <w:tcPr>
            <w:tcW w:w="1211" w:type="pct"/>
            <w:tcBorders>
              <w:top w:val="single" w:sz="4" w:space="0" w:color="auto"/>
              <w:left w:val="single" w:sz="4" w:space="0" w:color="auto"/>
              <w:bottom w:val="single" w:sz="4" w:space="0" w:color="auto"/>
              <w:right w:val="single" w:sz="4" w:space="0" w:color="auto"/>
            </w:tcBorders>
            <w:vAlign w:val="center"/>
            <w:hideMark/>
          </w:tcPr>
          <w:p w14:paraId="52AAF5B4" w14:textId="77777777" w:rsidR="00602243" w:rsidRDefault="00602243" w:rsidP="00272FDF">
            <w:pPr>
              <w:spacing w:before="40"/>
              <w:jc w:val="center"/>
              <w:rPr>
                <w:b/>
                <w:bCs/>
                <w:color w:val="000000"/>
                <w:sz w:val="28"/>
                <w:szCs w:val="28"/>
              </w:rPr>
            </w:pPr>
            <w:r>
              <w:rPr>
                <w:b/>
                <w:bCs/>
                <w:color w:val="000000"/>
                <w:sz w:val="28"/>
                <w:szCs w:val="28"/>
              </w:rPr>
              <w:t>Năm</w:t>
            </w:r>
          </w:p>
        </w:tc>
        <w:tc>
          <w:tcPr>
            <w:tcW w:w="1365" w:type="pct"/>
            <w:tcBorders>
              <w:top w:val="single" w:sz="4" w:space="0" w:color="auto"/>
              <w:left w:val="nil"/>
              <w:bottom w:val="single" w:sz="4" w:space="0" w:color="auto"/>
              <w:right w:val="single" w:sz="4" w:space="0" w:color="auto"/>
            </w:tcBorders>
            <w:vAlign w:val="center"/>
            <w:hideMark/>
          </w:tcPr>
          <w:p w14:paraId="03A0C95E" w14:textId="77777777" w:rsidR="00602243" w:rsidRDefault="00602243" w:rsidP="00272FDF">
            <w:pPr>
              <w:spacing w:before="40"/>
              <w:jc w:val="center"/>
              <w:rPr>
                <w:b/>
                <w:bCs/>
                <w:color w:val="000000"/>
                <w:sz w:val="28"/>
                <w:szCs w:val="28"/>
              </w:rPr>
            </w:pPr>
            <w:r>
              <w:rPr>
                <w:b/>
                <w:bCs/>
                <w:color w:val="000000"/>
                <w:sz w:val="28"/>
                <w:szCs w:val="28"/>
              </w:rPr>
              <w:t>Số lao động</w:t>
            </w:r>
          </w:p>
        </w:tc>
        <w:tc>
          <w:tcPr>
            <w:tcW w:w="1062" w:type="pct"/>
            <w:tcBorders>
              <w:top w:val="single" w:sz="4" w:space="0" w:color="auto"/>
              <w:left w:val="nil"/>
              <w:bottom w:val="single" w:sz="4" w:space="0" w:color="auto"/>
              <w:right w:val="single" w:sz="4" w:space="0" w:color="auto"/>
            </w:tcBorders>
            <w:vAlign w:val="center"/>
            <w:hideMark/>
          </w:tcPr>
          <w:p w14:paraId="4A59DFDB" w14:textId="77777777" w:rsidR="00602243" w:rsidRDefault="00602243" w:rsidP="00272FDF">
            <w:pPr>
              <w:spacing w:before="40"/>
              <w:jc w:val="center"/>
              <w:rPr>
                <w:b/>
                <w:bCs/>
                <w:color w:val="000000"/>
                <w:sz w:val="28"/>
                <w:szCs w:val="28"/>
              </w:rPr>
            </w:pPr>
            <w:r>
              <w:rPr>
                <w:b/>
                <w:bCs/>
                <w:color w:val="000000"/>
                <w:sz w:val="28"/>
                <w:szCs w:val="28"/>
              </w:rPr>
              <w:t>NSLĐ (triệu kWh/người)</w:t>
            </w:r>
          </w:p>
        </w:tc>
        <w:tc>
          <w:tcPr>
            <w:tcW w:w="1362" w:type="pct"/>
            <w:tcBorders>
              <w:top w:val="single" w:sz="4" w:space="0" w:color="auto"/>
              <w:left w:val="nil"/>
              <w:bottom w:val="single" w:sz="4" w:space="0" w:color="auto"/>
              <w:right w:val="single" w:sz="4" w:space="0" w:color="auto"/>
            </w:tcBorders>
            <w:vAlign w:val="center"/>
            <w:hideMark/>
          </w:tcPr>
          <w:p w14:paraId="74EDC40D" w14:textId="77777777" w:rsidR="00602243" w:rsidRDefault="00602243" w:rsidP="00272FDF">
            <w:pPr>
              <w:spacing w:before="40"/>
              <w:jc w:val="center"/>
              <w:rPr>
                <w:b/>
                <w:bCs/>
                <w:color w:val="000000"/>
                <w:sz w:val="28"/>
                <w:szCs w:val="28"/>
              </w:rPr>
            </w:pPr>
            <w:r>
              <w:rPr>
                <w:b/>
                <w:bCs/>
                <w:color w:val="000000"/>
                <w:sz w:val="28"/>
                <w:szCs w:val="28"/>
              </w:rPr>
              <w:t>Tốc độ tăng trưởng hằng năm</w:t>
            </w:r>
          </w:p>
        </w:tc>
      </w:tr>
      <w:tr w:rsidR="00602243" w14:paraId="10C7B438"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37CB5370" w14:textId="77777777" w:rsidR="00602243" w:rsidRDefault="00602243" w:rsidP="00272FDF">
            <w:pPr>
              <w:spacing w:before="40"/>
              <w:jc w:val="center"/>
              <w:rPr>
                <w:color w:val="000000"/>
                <w:sz w:val="28"/>
                <w:szCs w:val="28"/>
              </w:rPr>
            </w:pPr>
            <w:r>
              <w:rPr>
                <w:color w:val="000000"/>
                <w:sz w:val="28"/>
                <w:szCs w:val="28"/>
              </w:rPr>
              <w:t>2021</w:t>
            </w:r>
          </w:p>
        </w:tc>
        <w:tc>
          <w:tcPr>
            <w:tcW w:w="1365" w:type="pct"/>
            <w:tcBorders>
              <w:top w:val="nil"/>
              <w:left w:val="nil"/>
              <w:bottom w:val="single" w:sz="4" w:space="0" w:color="auto"/>
              <w:right w:val="single" w:sz="4" w:space="0" w:color="auto"/>
            </w:tcBorders>
            <w:vAlign w:val="center"/>
            <w:hideMark/>
          </w:tcPr>
          <w:p w14:paraId="0E4CBE11" w14:textId="77777777" w:rsidR="00602243" w:rsidRDefault="00602243" w:rsidP="00272FDF">
            <w:pPr>
              <w:spacing w:before="40"/>
              <w:jc w:val="center"/>
              <w:rPr>
                <w:color w:val="000000"/>
                <w:sz w:val="28"/>
                <w:szCs w:val="28"/>
              </w:rPr>
            </w:pPr>
            <w:r>
              <w:rPr>
                <w:color w:val="000000"/>
                <w:sz w:val="28"/>
                <w:szCs w:val="28"/>
              </w:rPr>
              <w:t>97.451</w:t>
            </w:r>
          </w:p>
        </w:tc>
        <w:tc>
          <w:tcPr>
            <w:tcW w:w="1062" w:type="pct"/>
            <w:tcBorders>
              <w:top w:val="nil"/>
              <w:left w:val="nil"/>
              <w:bottom w:val="single" w:sz="4" w:space="0" w:color="auto"/>
              <w:right w:val="single" w:sz="4" w:space="0" w:color="auto"/>
            </w:tcBorders>
            <w:vAlign w:val="center"/>
            <w:hideMark/>
          </w:tcPr>
          <w:p w14:paraId="31244581" w14:textId="77777777" w:rsidR="00602243" w:rsidRDefault="00602243" w:rsidP="00272FDF">
            <w:pPr>
              <w:spacing w:before="40"/>
              <w:jc w:val="center"/>
              <w:rPr>
                <w:color w:val="000000"/>
                <w:sz w:val="28"/>
                <w:szCs w:val="28"/>
              </w:rPr>
            </w:pPr>
            <w:r>
              <w:rPr>
                <w:color w:val="000000"/>
                <w:sz w:val="28"/>
                <w:szCs w:val="28"/>
              </w:rPr>
              <w:t>1,645</w:t>
            </w:r>
          </w:p>
        </w:tc>
        <w:tc>
          <w:tcPr>
            <w:tcW w:w="1362" w:type="pct"/>
            <w:tcBorders>
              <w:top w:val="nil"/>
              <w:left w:val="nil"/>
              <w:bottom w:val="single" w:sz="4" w:space="0" w:color="auto"/>
              <w:right w:val="single" w:sz="4" w:space="0" w:color="auto"/>
            </w:tcBorders>
            <w:vAlign w:val="center"/>
            <w:hideMark/>
          </w:tcPr>
          <w:p w14:paraId="578B2999" w14:textId="77777777" w:rsidR="00602243" w:rsidRDefault="00602243" w:rsidP="00272FDF">
            <w:pPr>
              <w:spacing w:before="40"/>
              <w:jc w:val="center"/>
              <w:rPr>
                <w:color w:val="000000"/>
                <w:sz w:val="28"/>
                <w:szCs w:val="28"/>
              </w:rPr>
            </w:pPr>
            <w:r>
              <w:rPr>
                <w:color w:val="000000"/>
                <w:sz w:val="28"/>
                <w:szCs w:val="28"/>
              </w:rPr>
              <w:t>4,13%</w:t>
            </w:r>
          </w:p>
        </w:tc>
      </w:tr>
      <w:tr w:rsidR="00602243" w14:paraId="0FC91343"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58596F75" w14:textId="77777777" w:rsidR="00602243" w:rsidRDefault="00602243" w:rsidP="00272FDF">
            <w:pPr>
              <w:spacing w:before="40"/>
              <w:jc w:val="center"/>
              <w:rPr>
                <w:color w:val="000000"/>
                <w:sz w:val="28"/>
                <w:szCs w:val="28"/>
              </w:rPr>
            </w:pPr>
            <w:r>
              <w:rPr>
                <w:color w:val="000000"/>
                <w:sz w:val="28"/>
                <w:szCs w:val="28"/>
              </w:rPr>
              <w:t>2022</w:t>
            </w:r>
          </w:p>
        </w:tc>
        <w:tc>
          <w:tcPr>
            <w:tcW w:w="1365" w:type="pct"/>
            <w:tcBorders>
              <w:top w:val="nil"/>
              <w:left w:val="nil"/>
              <w:bottom w:val="single" w:sz="4" w:space="0" w:color="auto"/>
              <w:right w:val="single" w:sz="4" w:space="0" w:color="auto"/>
            </w:tcBorders>
            <w:vAlign w:val="center"/>
            <w:hideMark/>
          </w:tcPr>
          <w:p w14:paraId="7A15AE4C" w14:textId="77777777" w:rsidR="00602243" w:rsidRDefault="00602243" w:rsidP="00272FDF">
            <w:pPr>
              <w:spacing w:before="40"/>
              <w:jc w:val="center"/>
              <w:rPr>
                <w:color w:val="000000"/>
                <w:sz w:val="28"/>
                <w:szCs w:val="28"/>
              </w:rPr>
            </w:pPr>
            <w:r>
              <w:rPr>
                <w:color w:val="000000"/>
                <w:sz w:val="28"/>
                <w:szCs w:val="28"/>
              </w:rPr>
              <w:t>96.924</w:t>
            </w:r>
          </w:p>
        </w:tc>
        <w:tc>
          <w:tcPr>
            <w:tcW w:w="1062" w:type="pct"/>
            <w:tcBorders>
              <w:top w:val="nil"/>
              <w:left w:val="nil"/>
              <w:bottom w:val="single" w:sz="4" w:space="0" w:color="auto"/>
              <w:right w:val="single" w:sz="4" w:space="0" w:color="auto"/>
            </w:tcBorders>
            <w:vAlign w:val="center"/>
            <w:hideMark/>
          </w:tcPr>
          <w:p w14:paraId="2CCC8ECC" w14:textId="77777777" w:rsidR="00602243" w:rsidRDefault="00602243" w:rsidP="00272FDF">
            <w:pPr>
              <w:spacing w:before="40"/>
              <w:jc w:val="center"/>
              <w:rPr>
                <w:color w:val="000000"/>
                <w:sz w:val="28"/>
                <w:szCs w:val="28"/>
              </w:rPr>
            </w:pPr>
            <w:r>
              <w:rPr>
                <w:color w:val="000000"/>
                <w:sz w:val="28"/>
                <w:szCs w:val="28"/>
              </w:rPr>
              <w:t>2,84</w:t>
            </w:r>
          </w:p>
        </w:tc>
        <w:tc>
          <w:tcPr>
            <w:tcW w:w="1362" w:type="pct"/>
            <w:tcBorders>
              <w:top w:val="nil"/>
              <w:left w:val="nil"/>
              <w:bottom w:val="single" w:sz="4" w:space="0" w:color="auto"/>
              <w:right w:val="single" w:sz="4" w:space="0" w:color="auto"/>
            </w:tcBorders>
            <w:vAlign w:val="center"/>
            <w:hideMark/>
          </w:tcPr>
          <w:p w14:paraId="3E8F053F" w14:textId="77777777" w:rsidR="00602243" w:rsidRDefault="00602243" w:rsidP="00272FDF">
            <w:pPr>
              <w:spacing w:before="40"/>
              <w:jc w:val="center"/>
              <w:rPr>
                <w:color w:val="000000"/>
                <w:sz w:val="28"/>
                <w:szCs w:val="28"/>
              </w:rPr>
            </w:pPr>
            <w:r>
              <w:rPr>
                <w:color w:val="000000"/>
                <w:sz w:val="28"/>
                <w:szCs w:val="28"/>
              </w:rPr>
              <w:t>7,37%</w:t>
            </w:r>
          </w:p>
        </w:tc>
      </w:tr>
      <w:tr w:rsidR="00602243" w14:paraId="482FAFC6"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2FF4AEDB" w14:textId="77777777" w:rsidR="00602243" w:rsidRDefault="00602243" w:rsidP="00272FDF">
            <w:pPr>
              <w:spacing w:before="40"/>
              <w:jc w:val="center"/>
              <w:rPr>
                <w:color w:val="000000"/>
                <w:sz w:val="28"/>
                <w:szCs w:val="28"/>
              </w:rPr>
            </w:pPr>
            <w:r>
              <w:rPr>
                <w:color w:val="000000"/>
                <w:sz w:val="28"/>
                <w:szCs w:val="28"/>
              </w:rPr>
              <w:t>2023</w:t>
            </w:r>
          </w:p>
        </w:tc>
        <w:tc>
          <w:tcPr>
            <w:tcW w:w="1365" w:type="pct"/>
            <w:tcBorders>
              <w:top w:val="nil"/>
              <w:left w:val="nil"/>
              <w:bottom w:val="single" w:sz="4" w:space="0" w:color="auto"/>
              <w:right w:val="single" w:sz="4" w:space="0" w:color="auto"/>
            </w:tcBorders>
            <w:vAlign w:val="center"/>
            <w:hideMark/>
          </w:tcPr>
          <w:p w14:paraId="58E4E644" w14:textId="77777777" w:rsidR="00602243" w:rsidRDefault="00602243" w:rsidP="00272FDF">
            <w:pPr>
              <w:spacing w:before="40"/>
              <w:jc w:val="center"/>
              <w:rPr>
                <w:color w:val="000000"/>
                <w:sz w:val="28"/>
                <w:szCs w:val="28"/>
              </w:rPr>
            </w:pPr>
            <w:r>
              <w:rPr>
                <w:color w:val="000000"/>
                <w:sz w:val="28"/>
                <w:szCs w:val="28"/>
              </w:rPr>
              <w:t>96.459</w:t>
            </w:r>
          </w:p>
        </w:tc>
        <w:tc>
          <w:tcPr>
            <w:tcW w:w="1062" w:type="pct"/>
            <w:tcBorders>
              <w:top w:val="nil"/>
              <w:left w:val="nil"/>
              <w:bottom w:val="single" w:sz="4" w:space="0" w:color="auto"/>
              <w:right w:val="single" w:sz="4" w:space="0" w:color="auto"/>
            </w:tcBorders>
            <w:vAlign w:val="center"/>
            <w:hideMark/>
          </w:tcPr>
          <w:p w14:paraId="6062AF52" w14:textId="77777777" w:rsidR="00602243" w:rsidRDefault="00602243" w:rsidP="00272FDF">
            <w:pPr>
              <w:spacing w:before="40"/>
              <w:jc w:val="center"/>
              <w:rPr>
                <w:color w:val="000000"/>
                <w:sz w:val="28"/>
                <w:szCs w:val="28"/>
              </w:rPr>
            </w:pPr>
            <w:r>
              <w:rPr>
                <w:color w:val="000000"/>
                <w:sz w:val="28"/>
                <w:szCs w:val="28"/>
              </w:rPr>
              <w:t>3,03</w:t>
            </w:r>
          </w:p>
        </w:tc>
        <w:tc>
          <w:tcPr>
            <w:tcW w:w="1362" w:type="pct"/>
            <w:tcBorders>
              <w:top w:val="nil"/>
              <w:left w:val="nil"/>
              <w:bottom w:val="single" w:sz="4" w:space="0" w:color="auto"/>
              <w:right w:val="single" w:sz="4" w:space="0" w:color="auto"/>
            </w:tcBorders>
            <w:vAlign w:val="center"/>
            <w:hideMark/>
          </w:tcPr>
          <w:p w14:paraId="44ECB6DA" w14:textId="77777777" w:rsidR="00602243" w:rsidRDefault="00602243" w:rsidP="00272FDF">
            <w:pPr>
              <w:spacing w:before="40"/>
              <w:jc w:val="center"/>
              <w:rPr>
                <w:color w:val="000000"/>
                <w:sz w:val="28"/>
                <w:szCs w:val="28"/>
              </w:rPr>
            </w:pPr>
            <w:r>
              <w:rPr>
                <w:color w:val="000000"/>
                <w:sz w:val="28"/>
                <w:szCs w:val="28"/>
              </w:rPr>
              <w:t>6,80%</w:t>
            </w:r>
          </w:p>
        </w:tc>
      </w:tr>
      <w:tr w:rsidR="00602243" w14:paraId="5A36EE81"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68770BF4" w14:textId="77777777" w:rsidR="00602243" w:rsidRDefault="00602243" w:rsidP="00272FDF">
            <w:pPr>
              <w:spacing w:before="40"/>
              <w:jc w:val="center"/>
              <w:rPr>
                <w:color w:val="000000"/>
                <w:sz w:val="28"/>
                <w:szCs w:val="28"/>
              </w:rPr>
            </w:pPr>
            <w:r>
              <w:rPr>
                <w:color w:val="000000"/>
                <w:sz w:val="28"/>
                <w:szCs w:val="28"/>
              </w:rPr>
              <w:t>2024</w:t>
            </w:r>
          </w:p>
        </w:tc>
        <w:tc>
          <w:tcPr>
            <w:tcW w:w="1365" w:type="pct"/>
            <w:tcBorders>
              <w:top w:val="nil"/>
              <w:left w:val="nil"/>
              <w:bottom w:val="single" w:sz="4" w:space="0" w:color="auto"/>
              <w:right w:val="single" w:sz="4" w:space="0" w:color="auto"/>
            </w:tcBorders>
            <w:vAlign w:val="center"/>
            <w:hideMark/>
          </w:tcPr>
          <w:p w14:paraId="3A12855B" w14:textId="77777777" w:rsidR="00602243" w:rsidRDefault="00602243" w:rsidP="00272FDF">
            <w:pPr>
              <w:spacing w:before="40"/>
              <w:jc w:val="center"/>
              <w:rPr>
                <w:color w:val="000000"/>
                <w:sz w:val="28"/>
                <w:szCs w:val="28"/>
              </w:rPr>
            </w:pPr>
            <w:r>
              <w:rPr>
                <w:color w:val="000000"/>
                <w:sz w:val="28"/>
                <w:szCs w:val="28"/>
              </w:rPr>
              <w:t>97.051</w:t>
            </w:r>
          </w:p>
        </w:tc>
        <w:tc>
          <w:tcPr>
            <w:tcW w:w="1062" w:type="pct"/>
            <w:tcBorders>
              <w:top w:val="nil"/>
              <w:left w:val="nil"/>
              <w:bottom w:val="single" w:sz="4" w:space="0" w:color="auto"/>
              <w:right w:val="single" w:sz="4" w:space="0" w:color="auto"/>
            </w:tcBorders>
            <w:vAlign w:val="center"/>
            <w:hideMark/>
          </w:tcPr>
          <w:p w14:paraId="7392B53E" w14:textId="77777777" w:rsidR="00602243" w:rsidRDefault="00602243" w:rsidP="00272FDF">
            <w:pPr>
              <w:spacing w:before="40"/>
              <w:jc w:val="center"/>
              <w:rPr>
                <w:color w:val="000000"/>
                <w:sz w:val="28"/>
                <w:szCs w:val="28"/>
              </w:rPr>
            </w:pPr>
            <w:r>
              <w:rPr>
                <w:color w:val="000000"/>
                <w:sz w:val="28"/>
                <w:szCs w:val="28"/>
              </w:rPr>
              <w:t>3,33</w:t>
            </w:r>
          </w:p>
        </w:tc>
        <w:tc>
          <w:tcPr>
            <w:tcW w:w="1362" w:type="pct"/>
            <w:tcBorders>
              <w:top w:val="nil"/>
              <w:left w:val="nil"/>
              <w:bottom w:val="single" w:sz="4" w:space="0" w:color="auto"/>
              <w:right w:val="single" w:sz="4" w:space="0" w:color="auto"/>
            </w:tcBorders>
            <w:vAlign w:val="center"/>
            <w:hideMark/>
          </w:tcPr>
          <w:p w14:paraId="5E400CC6" w14:textId="77777777" w:rsidR="00602243" w:rsidRDefault="00602243" w:rsidP="00272FDF">
            <w:pPr>
              <w:spacing w:before="40"/>
              <w:jc w:val="center"/>
              <w:rPr>
                <w:color w:val="000000"/>
                <w:sz w:val="28"/>
                <w:szCs w:val="28"/>
              </w:rPr>
            </w:pPr>
            <w:r>
              <w:rPr>
                <w:color w:val="000000"/>
                <w:sz w:val="28"/>
                <w:szCs w:val="28"/>
              </w:rPr>
              <w:t>9,90%</w:t>
            </w:r>
          </w:p>
        </w:tc>
      </w:tr>
      <w:tr w:rsidR="00602243" w14:paraId="3CC6128E" w14:textId="77777777" w:rsidTr="00602243">
        <w:trPr>
          <w:trHeight w:val="283"/>
        </w:trPr>
        <w:tc>
          <w:tcPr>
            <w:tcW w:w="1211" w:type="pct"/>
            <w:tcBorders>
              <w:top w:val="nil"/>
              <w:left w:val="single" w:sz="4" w:space="0" w:color="auto"/>
              <w:bottom w:val="single" w:sz="4" w:space="0" w:color="auto"/>
              <w:right w:val="single" w:sz="4" w:space="0" w:color="auto"/>
            </w:tcBorders>
            <w:vAlign w:val="center"/>
            <w:hideMark/>
          </w:tcPr>
          <w:p w14:paraId="0868BE42" w14:textId="77777777" w:rsidR="00602243" w:rsidRDefault="00602243" w:rsidP="00272FDF">
            <w:pPr>
              <w:spacing w:before="40"/>
              <w:jc w:val="center"/>
              <w:rPr>
                <w:color w:val="000000"/>
                <w:sz w:val="28"/>
                <w:szCs w:val="28"/>
              </w:rPr>
            </w:pPr>
            <w:r>
              <w:rPr>
                <w:color w:val="000000"/>
                <w:sz w:val="28"/>
                <w:szCs w:val="28"/>
              </w:rPr>
              <w:t>2025</w:t>
            </w:r>
          </w:p>
        </w:tc>
        <w:tc>
          <w:tcPr>
            <w:tcW w:w="1365" w:type="pct"/>
            <w:tcBorders>
              <w:top w:val="nil"/>
              <w:left w:val="nil"/>
              <w:bottom w:val="single" w:sz="4" w:space="0" w:color="auto"/>
              <w:right w:val="single" w:sz="4" w:space="0" w:color="auto"/>
            </w:tcBorders>
            <w:vAlign w:val="center"/>
            <w:hideMark/>
          </w:tcPr>
          <w:p w14:paraId="355792F7" w14:textId="77777777" w:rsidR="00602243" w:rsidRDefault="00602243" w:rsidP="00272FDF">
            <w:pPr>
              <w:spacing w:before="40"/>
              <w:jc w:val="center"/>
              <w:rPr>
                <w:color w:val="000000"/>
                <w:sz w:val="28"/>
                <w:szCs w:val="28"/>
              </w:rPr>
            </w:pPr>
            <w:r>
              <w:rPr>
                <w:color w:val="000000"/>
                <w:sz w:val="28"/>
                <w:szCs w:val="28"/>
              </w:rPr>
              <w:t>96.662</w:t>
            </w:r>
          </w:p>
        </w:tc>
        <w:tc>
          <w:tcPr>
            <w:tcW w:w="1062" w:type="pct"/>
            <w:tcBorders>
              <w:top w:val="nil"/>
              <w:left w:val="nil"/>
              <w:bottom w:val="single" w:sz="4" w:space="0" w:color="auto"/>
              <w:right w:val="single" w:sz="4" w:space="0" w:color="auto"/>
            </w:tcBorders>
            <w:vAlign w:val="center"/>
            <w:hideMark/>
          </w:tcPr>
          <w:p w14:paraId="7BADCEEA" w14:textId="77777777" w:rsidR="00602243" w:rsidRDefault="00602243" w:rsidP="00272FDF">
            <w:pPr>
              <w:spacing w:before="40"/>
              <w:jc w:val="center"/>
              <w:rPr>
                <w:color w:val="000000"/>
                <w:sz w:val="28"/>
                <w:szCs w:val="28"/>
              </w:rPr>
            </w:pPr>
            <w:r>
              <w:rPr>
                <w:color w:val="000000"/>
                <w:sz w:val="28"/>
                <w:szCs w:val="28"/>
              </w:rPr>
              <w:t>3,55</w:t>
            </w:r>
          </w:p>
        </w:tc>
        <w:tc>
          <w:tcPr>
            <w:tcW w:w="1362" w:type="pct"/>
            <w:tcBorders>
              <w:top w:val="nil"/>
              <w:left w:val="nil"/>
              <w:bottom w:val="single" w:sz="4" w:space="0" w:color="auto"/>
              <w:right w:val="single" w:sz="4" w:space="0" w:color="auto"/>
            </w:tcBorders>
            <w:vAlign w:val="center"/>
            <w:hideMark/>
          </w:tcPr>
          <w:p w14:paraId="55E7E842" w14:textId="77777777" w:rsidR="00602243" w:rsidRDefault="00602243" w:rsidP="00272FDF">
            <w:pPr>
              <w:spacing w:before="40"/>
              <w:jc w:val="center"/>
              <w:rPr>
                <w:color w:val="000000"/>
                <w:sz w:val="28"/>
                <w:szCs w:val="28"/>
              </w:rPr>
            </w:pPr>
            <w:r>
              <w:rPr>
                <w:color w:val="000000"/>
                <w:sz w:val="28"/>
                <w:szCs w:val="28"/>
              </w:rPr>
              <w:t>6,60%</w:t>
            </w:r>
          </w:p>
        </w:tc>
      </w:tr>
      <w:tr w:rsidR="00602243" w14:paraId="25EB4198" w14:textId="77777777" w:rsidTr="00602243">
        <w:trPr>
          <w:trHeight w:val="468"/>
        </w:trPr>
        <w:tc>
          <w:tcPr>
            <w:tcW w:w="1211" w:type="pct"/>
            <w:tcBorders>
              <w:top w:val="nil"/>
              <w:left w:val="single" w:sz="4" w:space="0" w:color="auto"/>
              <w:bottom w:val="single" w:sz="4" w:space="0" w:color="auto"/>
              <w:right w:val="single" w:sz="4" w:space="0" w:color="auto"/>
            </w:tcBorders>
            <w:vAlign w:val="center"/>
            <w:hideMark/>
          </w:tcPr>
          <w:p w14:paraId="15C29E9D" w14:textId="77777777" w:rsidR="00602243" w:rsidRDefault="00602243" w:rsidP="00272FDF">
            <w:pPr>
              <w:spacing w:before="40"/>
              <w:jc w:val="center"/>
              <w:rPr>
                <w:b/>
                <w:bCs/>
                <w:color w:val="000000"/>
                <w:sz w:val="28"/>
                <w:szCs w:val="28"/>
              </w:rPr>
            </w:pPr>
            <w:r>
              <w:rPr>
                <w:b/>
                <w:bCs/>
                <w:color w:val="000000"/>
                <w:sz w:val="28"/>
                <w:szCs w:val="28"/>
              </w:rPr>
              <w:t>NSLĐ bình quân</w:t>
            </w:r>
          </w:p>
        </w:tc>
        <w:tc>
          <w:tcPr>
            <w:tcW w:w="1365" w:type="pct"/>
            <w:tcBorders>
              <w:top w:val="nil"/>
              <w:left w:val="nil"/>
              <w:bottom w:val="single" w:sz="4" w:space="0" w:color="auto"/>
              <w:right w:val="single" w:sz="4" w:space="0" w:color="auto"/>
            </w:tcBorders>
            <w:vAlign w:val="center"/>
            <w:hideMark/>
          </w:tcPr>
          <w:p w14:paraId="664BBC62" w14:textId="77777777" w:rsidR="00602243" w:rsidRDefault="00602243" w:rsidP="00272FDF">
            <w:pPr>
              <w:spacing w:before="40"/>
              <w:jc w:val="center"/>
              <w:rPr>
                <w:color w:val="000000"/>
                <w:sz w:val="28"/>
                <w:szCs w:val="28"/>
              </w:rPr>
            </w:pPr>
            <w:r>
              <w:rPr>
                <w:color w:val="000000"/>
                <w:sz w:val="28"/>
                <w:szCs w:val="28"/>
              </w:rPr>
              <w:t> </w:t>
            </w:r>
          </w:p>
        </w:tc>
        <w:tc>
          <w:tcPr>
            <w:tcW w:w="1062" w:type="pct"/>
            <w:tcBorders>
              <w:top w:val="nil"/>
              <w:left w:val="nil"/>
              <w:bottom w:val="single" w:sz="4" w:space="0" w:color="auto"/>
              <w:right w:val="single" w:sz="4" w:space="0" w:color="auto"/>
            </w:tcBorders>
            <w:vAlign w:val="center"/>
            <w:hideMark/>
          </w:tcPr>
          <w:p w14:paraId="0286E328" w14:textId="77777777" w:rsidR="00602243" w:rsidRDefault="00602243" w:rsidP="00272FDF">
            <w:pPr>
              <w:spacing w:before="40"/>
              <w:jc w:val="center"/>
              <w:rPr>
                <w:color w:val="000000"/>
                <w:sz w:val="20"/>
                <w:szCs w:val="20"/>
              </w:rPr>
            </w:pPr>
            <w:r>
              <w:rPr>
                <w:color w:val="000000"/>
                <w:sz w:val="20"/>
                <w:szCs w:val="20"/>
              </w:rPr>
              <w:t> </w:t>
            </w:r>
          </w:p>
        </w:tc>
        <w:tc>
          <w:tcPr>
            <w:tcW w:w="1362" w:type="pct"/>
            <w:tcBorders>
              <w:top w:val="nil"/>
              <w:left w:val="nil"/>
              <w:bottom w:val="single" w:sz="4" w:space="0" w:color="auto"/>
              <w:right w:val="single" w:sz="4" w:space="0" w:color="auto"/>
            </w:tcBorders>
            <w:vAlign w:val="center"/>
            <w:hideMark/>
          </w:tcPr>
          <w:p w14:paraId="0BC52A0F" w14:textId="77777777" w:rsidR="00602243" w:rsidRDefault="00602243" w:rsidP="00272FDF">
            <w:pPr>
              <w:spacing w:before="40"/>
              <w:jc w:val="center"/>
              <w:rPr>
                <w:b/>
                <w:bCs/>
                <w:color w:val="000000"/>
                <w:sz w:val="28"/>
                <w:szCs w:val="28"/>
              </w:rPr>
            </w:pPr>
            <w:r>
              <w:rPr>
                <w:b/>
                <w:bCs/>
                <w:color w:val="000000"/>
                <w:sz w:val="28"/>
                <w:szCs w:val="28"/>
              </w:rPr>
              <w:t>6,8%/năm</w:t>
            </w:r>
          </w:p>
        </w:tc>
      </w:tr>
    </w:tbl>
    <w:p w14:paraId="3F74E859" w14:textId="77777777" w:rsidR="005E7DA5" w:rsidRDefault="005E7DA5" w:rsidP="00367071">
      <w:pPr>
        <w:tabs>
          <w:tab w:val="left" w:pos="851"/>
        </w:tabs>
        <w:spacing w:before="120" w:line="252" w:lineRule="auto"/>
        <w:ind w:firstLine="567"/>
        <w:jc w:val="center"/>
        <w:rPr>
          <w:rFonts w:asciiTheme="majorHAnsi" w:hAnsiTheme="majorHAnsi" w:cstheme="majorHAnsi"/>
          <w:b/>
          <w:bCs/>
          <w:sz w:val="28"/>
          <w:szCs w:val="28"/>
        </w:rPr>
      </w:pPr>
    </w:p>
    <w:p w14:paraId="5BD9F0A0" w14:textId="77777777" w:rsidR="00602243" w:rsidRDefault="0096115D" w:rsidP="00602243">
      <w:pPr>
        <w:tabs>
          <w:tab w:val="left" w:pos="851"/>
        </w:tabs>
        <w:spacing w:before="120" w:line="252" w:lineRule="auto"/>
        <w:ind w:firstLine="567"/>
        <w:jc w:val="center"/>
        <w:rPr>
          <w:rFonts w:asciiTheme="majorHAnsi" w:hAnsiTheme="majorHAnsi" w:cstheme="majorHAnsi"/>
          <w:sz w:val="28"/>
          <w:szCs w:val="28"/>
        </w:rPr>
      </w:pPr>
      <w:r w:rsidRPr="0043515C">
        <w:rPr>
          <w:rFonts w:asciiTheme="majorHAnsi" w:hAnsiTheme="majorHAnsi" w:cstheme="majorHAnsi"/>
          <w:b/>
          <w:bCs/>
          <w:sz w:val="28"/>
          <w:szCs w:val="28"/>
        </w:rPr>
        <w:t>Hình 1:</w:t>
      </w:r>
      <w:r w:rsidRPr="0043515C">
        <w:rPr>
          <w:rFonts w:asciiTheme="majorHAnsi" w:hAnsiTheme="majorHAnsi" w:cstheme="majorHAnsi"/>
          <w:sz w:val="28"/>
          <w:szCs w:val="28"/>
        </w:rPr>
        <w:t xml:space="preserve"> Cơ cấu nhân sự</w:t>
      </w:r>
      <w:r w:rsidR="00B511AE" w:rsidRPr="0043515C">
        <w:rPr>
          <w:rFonts w:asciiTheme="majorHAnsi" w:hAnsiTheme="majorHAnsi" w:cstheme="majorHAnsi"/>
          <w:sz w:val="28"/>
          <w:szCs w:val="28"/>
        </w:rPr>
        <w:t xml:space="preserve"> của Tập đoàn</w:t>
      </w:r>
      <w:r w:rsidRPr="0043515C">
        <w:rPr>
          <w:rFonts w:asciiTheme="majorHAnsi" w:hAnsiTheme="majorHAnsi" w:cstheme="majorHAnsi"/>
          <w:sz w:val="28"/>
          <w:szCs w:val="28"/>
        </w:rPr>
        <w:t xml:space="preserve"> tại thời điểm tháng 4/2026</w:t>
      </w:r>
    </w:p>
    <w:p w14:paraId="4BD3DCA1" w14:textId="1961E6A4" w:rsidR="0096115D" w:rsidRPr="0043515C" w:rsidRDefault="0096115D" w:rsidP="00602243">
      <w:pPr>
        <w:tabs>
          <w:tab w:val="left" w:pos="851"/>
        </w:tabs>
        <w:spacing w:before="120" w:line="252" w:lineRule="auto"/>
        <w:ind w:firstLine="567"/>
        <w:jc w:val="right"/>
        <w:rPr>
          <w:rFonts w:asciiTheme="majorHAnsi" w:hAnsiTheme="majorHAnsi" w:cstheme="majorHAnsi"/>
          <w:sz w:val="28"/>
          <w:szCs w:val="28"/>
        </w:rPr>
      </w:pPr>
      <w:r w:rsidRPr="0043515C">
        <w:rPr>
          <w:rFonts w:asciiTheme="majorHAnsi" w:hAnsiTheme="majorHAnsi" w:cstheme="majorHAnsi"/>
          <w:sz w:val="28"/>
          <w:szCs w:val="28"/>
        </w:rPr>
        <w:t>Nguồn: HRMS</w:t>
      </w:r>
    </w:p>
    <w:p w14:paraId="19C3F936" w14:textId="77777777" w:rsidR="0096115D" w:rsidRPr="0043515C" w:rsidRDefault="0096115D" w:rsidP="00367071">
      <w:pPr>
        <w:tabs>
          <w:tab w:val="left" w:pos="851"/>
        </w:tabs>
        <w:spacing w:before="120" w:line="252" w:lineRule="auto"/>
        <w:jc w:val="both"/>
        <w:rPr>
          <w:rFonts w:asciiTheme="majorHAnsi" w:hAnsiTheme="majorHAnsi" w:cstheme="majorHAnsi"/>
          <w:sz w:val="28"/>
          <w:szCs w:val="28"/>
        </w:rPr>
      </w:pPr>
      <w:r w:rsidRPr="0043515C">
        <w:rPr>
          <w:rFonts w:asciiTheme="majorHAnsi" w:hAnsiTheme="majorHAnsi" w:cstheme="majorHAnsi"/>
          <w:noProof/>
          <w:sz w:val="28"/>
          <w:szCs w:val="28"/>
        </w:rPr>
        <w:drawing>
          <wp:inline distT="0" distB="0" distL="0" distR="0" wp14:anchorId="638DB526" wp14:editId="47668BBD">
            <wp:extent cx="5930498" cy="2788920"/>
            <wp:effectExtent l="0" t="0" r="0" b="0"/>
            <wp:docPr id="1566215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15433" name=""/>
                    <pic:cNvPicPr/>
                  </pic:nvPicPr>
                  <pic:blipFill rotWithShape="1">
                    <a:blip r:embed="rId8"/>
                    <a:srcRect l="834" t="32407" r="54891" b="25841"/>
                    <a:stretch>
                      <a:fillRect/>
                    </a:stretch>
                  </pic:blipFill>
                  <pic:spPr bwMode="auto">
                    <a:xfrm>
                      <a:off x="0" y="0"/>
                      <a:ext cx="5973949" cy="2809353"/>
                    </a:xfrm>
                    <a:prstGeom prst="rect">
                      <a:avLst/>
                    </a:prstGeom>
                    <a:ln>
                      <a:noFill/>
                    </a:ln>
                    <a:extLst>
                      <a:ext uri="{53640926-AAD7-44D8-BBD7-CCE9431645EC}">
                        <a14:shadowObscured xmlns:a14="http://schemas.microsoft.com/office/drawing/2010/main"/>
                      </a:ext>
                    </a:extLst>
                  </pic:spPr>
                </pic:pic>
              </a:graphicData>
            </a:graphic>
          </wp:inline>
        </w:drawing>
      </w:r>
    </w:p>
    <w:p w14:paraId="151499E2" w14:textId="7A3ADA61" w:rsidR="00B511AE" w:rsidRPr="0043515C" w:rsidRDefault="00B511AE" w:rsidP="00367071">
      <w:pPr>
        <w:tabs>
          <w:tab w:val="left" w:pos="851"/>
        </w:tabs>
        <w:spacing w:before="120" w:line="252" w:lineRule="auto"/>
        <w:ind w:firstLine="567"/>
        <w:jc w:val="both"/>
        <w:rPr>
          <w:rFonts w:asciiTheme="majorHAnsi" w:eastAsia="Calibri" w:hAnsiTheme="majorHAnsi" w:cstheme="majorHAnsi"/>
          <w:sz w:val="28"/>
          <w:szCs w:val="28"/>
          <w:lang w:val="en-AU"/>
        </w:rPr>
      </w:pPr>
      <w:r w:rsidRPr="0043515C">
        <w:rPr>
          <w:rFonts w:asciiTheme="majorHAnsi" w:eastAsia="Calibri" w:hAnsiTheme="majorHAnsi" w:cstheme="majorHAnsi"/>
          <w:sz w:val="28"/>
          <w:szCs w:val="28"/>
          <w:lang w:val="en-AU"/>
        </w:rPr>
        <w:t>-  T</w:t>
      </w:r>
      <w:r w:rsidR="0096115D" w:rsidRPr="0043515C">
        <w:rPr>
          <w:rFonts w:asciiTheme="majorHAnsi" w:eastAsia="Calibri" w:hAnsiTheme="majorHAnsi" w:cstheme="majorHAnsi"/>
          <w:sz w:val="28"/>
          <w:szCs w:val="28"/>
          <w:lang w:val="en-AU"/>
        </w:rPr>
        <w:t xml:space="preserve">ỷ lệ trình độ </w:t>
      </w:r>
      <w:r w:rsidRPr="0043515C">
        <w:rPr>
          <w:rFonts w:asciiTheme="majorHAnsi" w:eastAsia="Calibri" w:hAnsiTheme="majorHAnsi" w:cstheme="majorHAnsi"/>
          <w:sz w:val="28"/>
          <w:szCs w:val="28"/>
          <w:lang w:val="en-AU"/>
        </w:rPr>
        <w:t xml:space="preserve">học vấn </w:t>
      </w:r>
      <w:r w:rsidR="0096115D" w:rsidRPr="0043515C">
        <w:rPr>
          <w:rFonts w:asciiTheme="majorHAnsi" w:eastAsia="Calibri" w:hAnsiTheme="majorHAnsi" w:cstheme="majorHAnsi"/>
          <w:sz w:val="28"/>
          <w:szCs w:val="28"/>
          <w:lang w:val="en-AU"/>
        </w:rPr>
        <w:t xml:space="preserve">cao ngày càng tăng, với số lượng có trình độ đại học trở lên </w:t>
      </w:r>
      <w:r w:rsidRPr="0043515C">
        <w:rPr>
          <w:rFonts w:asciiTheme="majorHAnsi" w:eastAsia="Calibri" w:hAnsiTheme="majorHAnsi" w:cstheme="majorHAnsi"/>
          <w:sz w:val="28"/>
          <w:szCs w:val="28"/>
          <w:lang w:val="en-AU"/>
        </w:rPr>
        <w:t xml:space="preserve">vào tháng 4/2026 </w:t>
      </w:r>
      <w:r w:rsidR="0096115D" w:rsidRPr="0043515C">
        <w:rPr>
          <w:rFonts w:asciiTheme="majorHAnsi" w:eastAsia="Calibri" w:hAnsiTheme="majorHAnsi" w:cstheme="majorHAnsi"/>
          <w:sz w:val="28"/>
          <w:szCs w:val="28"/>
          <w:lang w:val="en-AU"/>
        </w:rPr>
        <w:t>đã đạt 57,5% tổng số lao động</w:t>
      </w:r>
      <w:r w:rsidRPr="0043515C">
        <w:rPr>
          <w:rFonts w:asciiTheme="majorHAnsi" w:eastAsia="Calibri" w:hAnsiTheme="majorHAnsi" w:cstheme="majorHAnsi"/>
          <w:sz w:val="28"/>
          <w:szCs w:val="28"/>
          <w:lang w:val="en-AU"/>
        </w:rPr>
        <w:t>, tăng hơn so với năm 2021</w:t>
      </w:r>
      <w:r w:rsidR="000B4BFF" w:rsidRPr="0043515C">
        <w:rPr>
          <w:rFonts w:asciiTheme="majorHAnsi" w:eastAsia="Calibri" w:hAnsiTheme="majorHAnsi" w:cstheme="majorHAnsi"/>
          <w:sz w:val="28"/>
          <w:szCs w:val="28"/>
          <w:lang w:val="en-AU"/>
        </w:rPr>
        <w:t xml:space="preserve"> là 56,6%</w:t>
      </w:r>
      <w:r w:rsidR="0096115D" w:rsidRPr="0043515C">
        <w:rPr>
          <w:rFonts w:asciiTheme="majorHAnsi" w:eastAsia="Calibri" w:hAnsiTheme="majorHAnsi" w:cstheme="majorHAnsi"/>
          <w:sz w:val="28"/>
          <w:szCs w:val="28"/>
          <w:lang w:val="en-AU"/>
        </w:rPr>
        <w:t xml:space="preserve">. </w:t>
      </w:r>
      <w:r w:rsidRPr="0043515C">
        <w:rPr>
          <w:rFonts w:asciiTheme="majorHAnsi" w:eastAsia="Calibri" w:hAnsiTheme="majorHAnsi" w:cstheme="majorHAnsi"/>
          <w:sz w:val="28"/>
          <w:szCs w:val="28"/>
          <w:lang w:val="en-AU"/>
        </w:rPr>
        <w:t>Xu hướng này phù hợp với đặc thù yêu cầu làm việc trong môi trường công nghệ kỹ thuật cao của Tập đoàn.</w:t>
      </w:r>
      <w:r w:rsidR="00465C19" w:rsidRPr="0043515C">
        <w:rPr>
          <w:rFonts w:asciiTheme="majorHAnsi" w:eastAsia="Calibri" w:hAnsiTheme="majorHAnsi" w:cstheme="majorHAnsi"/>
          <w:sz w:val="28"/>
          <w:szCs w:val="28"/>
          <w:lang w:val="en-AU"/>
        </w:rPr>
        <w:t xml:space="preserve"> Trong đó nhóm CBQL có trình độ đại học trở lên chiếm hơn 99%.</w:t>
      </w:r>
    </w:p>
    <w:p w14:paraId="0477D8C5" w14:textId="77777777" w:rsidR="00272FDF" w:rsidRDefault="00B511AE" w:rsidP="00272FDF">
      <w:pPr>
        <w:tabs>
          <w:tab w:val="left" w:pos="851"/>
        </w:tabs>
        <w:spacing w:before="120" w:line="252" w:lineRule="auto"/>
        <w:ind w:firstLine="567"/>
        <w:jc w:val="both"/>
        <w:rPr>
          <w:rFonts w:asciiTheme="majorHAnsi" w:hAnsiTheme="majorHAnsi" w:cstheme="majorHAnsi"/>
          <w:sz w:val="28"/>
          <w:szCs w:val="28"/>
          <w:lang w:val="it-IT"/>
        </w:rPr>
      </w:pPr>
      <w:r w:rsidRPr="0043515C">
        <w:rPr>
          <w:rFonts w:asciiTheme="majorHAnsi" w:eastAsia="Calibri" w:hAnsiTheme="majorHAnsi" w:cstheme="majorHAnsi"/>
          <w:sz w:val="28"/>
          <w:szCs w:val="28"/>
          <w:lang w:val="en-AU"/>
        </w:rPr>
        <w:t>- C</w:t>
      </w:r>
      <w:r w:rsidR="0096115D" w:rsidRPr="0043515C">
        <w:rPr>
          <w:rFonts w:asciiTheme="majorHAnsi" w:eastAsia="Calibri" w:hAnsiTheme="majorHAnsi" w:cstheme="majorHAnsi"/>
          <w:sz w:val="28"/>
          <w:szCs w:val="28"/>
          <w:lang w:val="en-AU"/>
        </w:rPr>
        <w:t xml:space="preserve">ơ cấu </w:t>
      </w:r>
      <w:r w:rsidRPr="0043515C">
        <w:rPr>
          <w:rFonts w:asciiTheme="majorHAnsi" w:eastAsia="Calibri" w:hAnsiTheme="majorHAnsi" w:cstheme="majorHAnsi"/>
          <w:sz w:val="28"/>
          <w:szCs w:val="28"/>
          <w:lang w:val="en-AU"/>
        </w:rPr>
        <w:t xml:space="preserve">về độ tuổi </w:t>
      </w:r>
      <w:r w:rsidR="0096115D" w:rsidRPr="0043515C">
        <w:rPr>
          <w:rFonts w:asciiTheme="majorHAnsi" w:eastAsia="Calibri" w:hAnsiTheme="majorHAnsi" w:cstheme="majorHAnsi"/>
          <w:sz w:val="28"/>
          <w:szCs w:val="28"/>
          <w:lang w:val="en-AU"/>
        </w:rPr>
        <w:t xml:space="preserve">đã có xu hướng già hóa rõ rệt với độ tuổi bình quân là 42, số lượng người dưới 40 tuổi đến nay chỉ chiếm 33,7%. </w:t>
      </w:r>
      <w:r w:rsidRPr="0043515C">
        <w:rPr>
          <w:rFonts w:asciiTheme="majorHAnsi" w:eastAsia="Calibri" w:hAnsiTheme="majorHAnsi" w:cstheme="majorHAnsi"/>
          <w:sz w:val="28"/>
          <w:szCs w:val="28"/>
          <w:lang w:val="en-AU"/>
        </w:rPr>
        <w:t>Nhân sự già hóa là một trong những rào cản cho đổi mới sáng tạo và tăng năng suất lao động. Mặc dù vậy, đây là thời gian quan trọng để khai thác, lưu trữ các kiến thức có được của thế hệ nhân sự có độ tuổi từ 40-60 tuổi.</w:t>
      </w:r>
      <w:r w:rsidR="005B1847" w:rsidRPr="0043515C">
        <w:rPr>
          <w:rFonts w:asciiTheme="majorHAnsi" w:eastAsia="Calibri" w:hAnsiTheme="majorHAnsi" w:cstheme="majorHAnsi"/>
          <w:sz w:val="28"/>
          <w:szCs w:val="28"/>
          <w:lang w:val="en-AU"/>
        </w:rPr>
        <w:t xml:space="preserve"> Theo số liệu thống kê trong giai đoạn 2021-2025, c</w:t>
      </w:r>
      <w:r w:rsidR="005B1847" w:rsidRPr="0043515C">
        <w:rPr>
          <w:rFonts w:asciiTheme="majorHAnsi" w:hAnsiTheme="majorHAnsi" w:cstheme="majorHAnsi"/>
          <w:sz w:val="28"/>
          <w:szCs w:val="28"/>
          <w:lang w:val="it-IT"/>
        </w:rPr>
        <w:t xml:space="preserve">ác nhóm nhân sự có kinh nghiệm lâu năm đã chiếm tỷ lệ rất cao (hơn </w:t>
      </w:r>
      <w:r w:rsidR="004F7537" w:rsidRPr="0043515C">
        <w:rPr>
          <w:rFonts w:asciiTheme="majorHAnsi" w:hAnsiTheme="majorHAnsi" w:cstheme="majorHAnsi"/>
          <w:sz w:val="28"/>
          <w:szCs w:val="28"/>
          <w:lang w:val="it-IT"/>
        </w:rPr>
        <w:t xml:space="preserve">khoảng </w:t>
      </w:r>
      <w:r w:rsidR="005B1847" w:rsidRPr="0043515C">
        <w:rPr>
          <w:rFonts w:asciiTheme="majorHAnsi" w:hAnsiTheme="majorHAnsi" w:cstheme="majorHAnsi"/>
          <w:sz w:val="28"/>
          <w:szCs w:val="28"/>
          <w:lang w:val="it-IT"/>
        </w:rPr>
        <w:t>50</w:t>
      </w:r>
      <w:r w:rsidR="004F7537" w:rsidRPr="0043515C">
        <w:rPr>
          <w:rFonts w:asciiTheme="majorHAnsi" w:hAnsiTheme="majorHAnsi" w:cstheme="majorHAnsi"/>
          <w:sz w:val="28"/>
          <w:szCs w:val="28"/>
          <w:lang w:val="it-IT"/>
        </w:rPr>
        <w:t>%</w:t>
      </w:r>
      <w:r w:rsidR="005B1847" w:rsidRPr="0043515C">
        <w:rPr>
          <w:rFonts w:asciiTheme="majorHAnsi" w:hAnsiTheme="majorHAnsi" w:cstheme="majorHAnsi"/>
          <w:sz w:val="28"/>
          <w:szCs w:val="28"/>
          <w:lang w:val="it-IT"/>
        </w:rPr>
        <w:t>) trong lực lượng lao động (xem Bảng 2 dưới đây):</w:t>
      </w:r>
    </w:p>
    <w:p w14:paraId="16317BFD" w14:textId="46C4BC47" w:rsidR="00602243" w:rsidRPr="00272FDF" w:rsidRDefault="005B1847" w:rsidP="00272FDF">
      <w:pPr>
        <w:tabs>
          <w:tab w:val="left" w:pos="851"/>
        </w:tabs>
        <w:spacing w:before="120" w:line="252" w:lineRule="auto"/>
        <w:ind w:firstLine="567"/>
        <w:jc w:val="both"/>
        <w:rPr>
          <w:rFonts w:asciiTheme="majorHAnsi" w:hAnsiTheme="majorHAnsi" w:cstheme="majorHAnsi"/>
          <w:sz w:val="28"/>
          <w:szCs w:val="28"/>
          <w:lang w:val="it-IT"/>
        </w:rPr>
      </w:pPr>
      <w:r w:rsidRPr="0043515C">
        <w:rPr>
          <w:rFonts w:asciiTheme="majorHAnsi" w:hAnsiTheme="majorHAnsi" w:cstheme="majorHAnsi"/>
          <w:b/>
          <w:bCs/>
          <w:iCs/>
          <w:sz w:val="28"/>
          <w:szCs w:val="28"/>
          <w:lang w:val="it-IT"/>
        </w:rPr>
        <w:t xml:space="preserve">Bảng 2: Tỷ trọng nguồn nhân lực </w:t>
      </w:r>
      <w:r w:rsidR="004F7537" w:rsidRPr="0043515C">
        <w:rPr>
          <w:rFonts w:asciiTheme="majorHAnsi" w:hAnsiTheme="majorHAnsi" w:cstheme="majorHAnsi"/>
          <w:b/>
          <w:bCs/>
          <w:iCs/>
          <w:sz w:val="28"/>
          <w:szCs w:val="28"/>
          <w:lang w:val="it-IT"/>
        </w:rPr>
        <w:t>nhiều kinh nghiệm trong</w:t>
      </w:r>
      <w:r w:rsidRPr="0043515C">
        <w:rPr>
          <w:rFonts w:asciiTheme="majorHAnsi" w:hAnsiTheme="majorHAnsi" w:cstheme="majorHAnsi"/>
          <w:b/>
          <w:bCs/>
          <w:iCs/>
          <w:sz w:val="28"/>
          <w:szCs w:val="28"/>
          <w:lang w:val="it-IT"/>
        </w:rPr>
        <w:t xml:space="preserve"> EVN</w:t>
      </w:r>
    </w:p>
    <w:p w14:paraId="2AA087ED" w14:textId="6609849E" w:rsidR="004F7537" w:rsidRPr="0043515C" w:rsidRDefault="004F7537" w:rsidP="00272FDF">
      <w:pPr>
        <w:tabs>
          <w:tab w:val="left" w:pos="851"/>
        </w:tabs>
        <w:spacing w:before="120" w:after="120" w:line="252" w:lineRule="auto"/>
        <w:ind w:firstLine="567"/>
        <w:jc w:val="right"/>
        <w:rPr>
          <w:rFonts w:asciiTheme="majorHAnsi" w:hAnsiTheme="majorHAnsi" w:cstheme="majorHAnsi"/>
          <w:sz w:val="28"/>
          <w:szCs w:val="28"/>
        </w:rPr>
      </w:pPr>
      <w:r w:rsidRPr="0043515C">
        <w:rPr>
          <w:rFonts w:asciiTheme="majorHAnsi" w:hAnsiTheme="majorHAnsi" w:cstheme="majorHAnsi"/>
          <w:sz w:val="28"/>
          <w:szCs w:val="28"/>
        </w:rPr>
        <w:t>Nguồn: HRMS</w:t>
      </w:r>
    </w:p>
    <w:tbl>
      <w:tblPr>
        <w:tblW w:w="5000" w:type="pct"/>
        <w:tblCellMar>
          <w:left w:w="0" w:type="dxa"/>
          <w:right w:w="0" w:type="dxa"/>
        </w:tblCellMar>
        <w:tblLook w:val="04A0" w:firstRow="1" w:lastRow="0" w:firstColumn="1" w:lastColumn="0" w:noHBand="0" w:noVBand="1"/>
      </w:tblPr>
      <w:tblGrid>
        <w:gridCol w:w="847"/>
        <w:gridCol w:w="1217"/>
        <w:gridCol w:w="1456"/>
        <w:gridCol w:w="1456"/>
        <w:gridCol w:w="1400"/>
        <w:gridCol w:w="1519"/>
        <w:gridCol w:w="1450"/>
      </w:tblGrid>
      <w:tr w:rsidR="00272FDF" w14:paraId="04C5D7A8" w14:textId="77777777" w:rsidTr="00272FDF">
        <w:trPr>
          <w:trHeight w:val="750"/>
        </w:trPr>
        <w:tc>
          <w:tcPr>
            <w:tcW w:w="4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59769" w14:textId="77777777" w:rsidR="00272FDF" w:rsidRDefault="00272FDF">
            <w:pPr>
              <w:jc w:val="center"/>
              <w:rPr>
                <w:b/>
                <w:bCs/>
                <w:color w:val="000000"/>
                <w:sz w:val="28"/>
                <w:szCs w:val="28"/>
              </w:rPr>
            </w:pPr>
            <w:r>
              <w:rPr>
                <w:b/>
                <w:bCs/>
                <w:color w:val="000000"/>
                <w:sz w:val="28"/>
                <w:szCs w:val="28"/>
              </w:rPr>
              <w:t>Năm</w:t>
            </w:r>
          </w:p>
        </w:tc>
        <w:tc>
          <w:tcPr>
            <w:tcW w:w="65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4E7448" w14:textId="77777777" w:rsidR="00272FDF" w:rsidRDefault="00272FDF">
            <w:pPr>
              <w:jc w:val="center"/>
              <w:rPr>
                <w:b/>
                <w:bCs/>
                <w:color w:val="000000"/>
                <w:sz w:val="28"/>
                <w:szCs w:val="28"/>
              </w:rPr>
            </w:pPr>
            <w:r>
              <w:rPr>
                <w:b/>
                <w:bCs/>
                <w:color w:val="000000"/>
                <w:sz w:val="28"/>
                <w:szCs w:val="28"/>
              </w:rPr>
              <w:t>Tổng số lao động</w:t>
            </w:r>
          </w:p>
        </w:tc>
        <w:tc>
          <w:tcPr>
            <w:tcW w:w="779" w:type="pct"/>
            <w:tcBorders>
              <w:top w:val="single" w:sz="4" w:space="0" w:color="auto"/>
              <w:left w:val="nil"/>
              <w:bottom w:val="single" w:sz="4" w:space="0" w:color="auto"/>
              <w:right w:val="single" w:sz="4" w:space="0" w:color="auto"/>
            </w:tcBorders>
            <w:shd w:val="clear" w:color="000000" w:fill="A5C9EB"/>
            <w:tcMar>
              <w:top w:w="15" w:type="dxa"/>
              <w:left w:w="15" w:type="dxa"/>
              <w:bottom w:w="0" w:type="dxa"/>
              <w:right w:w="15" w:type="dxa"/>
            </w:tcMar>
            <w:vAlign w:val="center"/>
            <w:hideMark/>
          </w:tcPr>
          <w:p w14:paraId="13CFBF88" w14:textId="77777777" w:rsidR="00272FDF" w:rsidRDefault="00272FDF">
            <w:pPr>
              <w:jc w:val="center"/>
              <w:rPr>
                <w:b/>
                <w:bCs/>
                <w:color w:val="000000"/>
                <w:sz w:val="28"/>
                <w:szCs w:val="28"/>
              </w:rPr>
            </w:pPr>
            <w:r>
              <w:rPr>
                <w:b/>
                <w:bCs/>
                <w:color w:val="000000"/>
                <w:sz w:val="28"/>
                <w:szCs w:val="28"/>
              </w:rPr>
              <w:t>Tỷ lệ (%)</w:t>
            </w:r>
          </w:p>
        </w:tc>
        <w:tc>
          <w:tcPr>
            <w:tcW w:w="77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F381ED" w14:textId="77777777" w:rsidR="00272FDF" w:rsidRDefault="00272FDF">
            <w:pPr>
              <w:jc w:val="center"/>
              <w:rPr>
                <w:b/>
                <w:bCs/>
                <w:color w:val="000000"/>
                <w:sz w:val="28"/>
                <w:szCs w:val="28"/>
              </w:rPr>
            </w:pPr>
            <w:r>
              <w:rPr>
                <w:b/>
                <w:bCs/>
                <w:color w:val="000000"/>
                <w:sz w:val="28"/>
                <w:szCs w:val="28"/>
              </w:rPr>
              <w:t>Lao động QL</w:t>
            </w:r>
          </w:p>
        </w:tc>
        <w:tc>
          <w:tcPr>
            <w:tcW w:w="74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FCC1971" w14:textId="77777777" w:rsidR="00272FDF" w:rsidRDefault="00272FDF">
            <w:pPr>
              <w:jc w:val="center"/>
              <w:rPr>
                <w:b/>
                <w:bCs/>
                <w:color w:val="000000"/>
                <w:sz w:val="28"/>
                <w:szCs w:val="28"/>
              </w:rPr>
            </w:pPr>
            <w:r>
              <w:rPr>
                <w:b/>
                <w:bCs/>
                <w:color w:val="000000"/>
                <w:sz w:val="28"/>
                <w:szCs w:val="28"/>
              </w:rPr>
              <w:t>Kỹ sư&gt;15 năm</w:t>
            </w:r>
          </w:p>
        </w:tc>
        <w:tc>
          <w:tcPr>
            <w:tcW w:w="81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3F8F4AB" w14:textId="77777777" w:rsidR="00272FDF" w:rsidRDefault="00272FDF">
            <w:pPr>
              <w:jc w:val="center"/>
              <w:rPr>
                <w:b/>
                <w:bCs/>
                <w:color w:val="000000"/>
                <w:sz w:val="28"/>
                <w:szCs w:val="28"/>
              </w:rPr>
            </w:pPr>
            <w:r>
              <w:rPr>
                <w:b/>
                <w:bCs/>
                <w:color w:val="000000"/>
                <w:sz w:val="28"/>
                <w:szCs w:val="28"/>
              </w:rPr>
              <w:t>CV Chính &amp;CC</w:t>
            </w:r>
          </w:p>
        </w:tc>
        <w:tc>
          <w:tcPr>
            <w:tcW w:w="77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0CF1E2F" w14:textId="77777777" w:rsidR="00272FDF" w:rsidRDefault="00272FDF">
            <w:pPr>
              <w:jc w:val="center"/>
              <w:rPr>
                <w:b/>
                <w:bCs/>
                <w:color w:val="000000"/>
                <w:sz w:val="28"/>
                <w:szCs w:val="28"/>
              </w:rPr>
            </w:pPr>
            <w:r>
              <w:rPr>
                <w:b/>
                <w:bCs/>
                <w:color w:val="000000"/>
                <w:sz w:val="28"/>
                <w:szCs w:val="28"/>
              </w:rPr>
              <w:t>Công nhân bậc 5 trở lên</w:t>
            </w:r>
          </w:p>
        </w:tc>
      </w:tr>
      <w:tr w:rsidR="00272FDF" w14:paraId="60B24B2A"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EEEEB2" w14:textId="77777777" w:rsidR="00272FDF" w:rsidRDefault="00272FDF">
            <w:pPr>
              <w:jc w:val="center"/>
              <w:rPr>
                <w:color w:val="000000"/>
                <w:sz w:val="28"/>
                <w:szCs w:val="28"/>
              </w:rPr>
            </w:pPr>
            <w:r>
              <w:rPr>
                <w:color w:val="000000"/>
                <w:sz w:val="28"/>
                <w:szCs w:val="28"/>
              </w:rPr>
              <w:t>2025</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47F203" w14:textId="77777777" w:rsidR="00272FDF" w:rsidRDefault="00272FDF">
            <w:pPr>
              <w:jc w:val="center"/>
              <w:rPr>
                <w:color w:val="000000"/>
                <w:sz w:val="28"/>
                <w:szCs w:val="28"/>
              </w:rPr>
            </w:pPr>
            <w:r>
              <w:rPr>
                <w:color w:val="000000"/>
                <w:sz w:val="28"/>
                <w:szCs w:val="28"/>
              </w:rPr>
              <w:t>96.662</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5C1C44A4" w14:textId="77777777" w:rsidR="00272FDF" w:rsidRDefault="00272FDF">
            <w:pPr>
              <w:jc w:val="center"/>
              <w:rPr>
                <w:color w:val="000000"/>
                <w:sz w:val="28"/>
                <w:szCs w:val="28"/>
              </w:rPr>
            </w:pPr>
            <w:r>
              <w:rPr>
                <w:color w:val="000000"/>
                <w:sz w:val="28"/>
                <w:szCs w:val="28"/>
              </w:rPr>
              <w:t>49,62</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822277" w14:textId="77777777" w:rsidR="00272FDF" w:rsidRDefault="00272FDF">
            <w:pPr>
              <w:jc w:val="center"/>
              <w:rPr>
                <w:color w:val="000000"/>
                <w:sz w:val="28"/>
                <w:szCs w:val="28"/>
              </w:rPr>
            </w:pPr>
            <w:r>
              <w:rPr>
                <w:color w:val="000000"/>
                <w:sz w:val="28"/>
                <w:szCs w:val="28"/>
              </w:rPr>
              <w:t>9.736 (*)</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7115BB" w14:textId="77777777" w:rsidR="00272FDF" w:rsidRDefault="00272FDF">
            <w:pPr>
              <w:jc w:val="center"/>
              <w:rPr>
                <w:color w:val="000000"/>
                <w:sz w:val="28"/>
                <w:szCs w:val="28"/>
              </w:rPr>
            </w:pPr>
            <w:r>
              <w:rPr>
                <w:color w:val="000000"/>
                <w:sz w:val="28"/>
                <w:szCs w:val="28"/>
              </w:rPr>
              <w:t>6.076</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5B935A" w14:textId="77777777" w:rsidR="00272FDF" w:rsidRDefault="00272FDF">
            <w:pPr>
              <w:jc w:val="center"/>
              <w:rPr>
                <w:color w:val="000000"/>
                <w:sz w:val="28"/>
                <w:szCs w:val="28"/>
              </w:rPr>
            </w:pPr>
            <w:r>
              <w:rPr>
                <w:color w:val="000000"/>
                <w:sz w:val="28"/>
                <w:szCs w:val="28"/>
              </w:rPr>
              <w:t>3.412</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30DD9B" w14:textId="77777777" w:rsidR="00272FDF" w:rsidRDefault="00272FDF">
            <w:pPr>
              <w:jc w:val="center"/>
              <w:rPr>
                <w:color w:val="000000"/>
                <w:sz w:val="28"/>
                <w:szCs w:val="28"/>
              </w:rPr>
            </w:pPr>
            <w:r>
              <w:rPr>
                <w:color w:val="000000"/>
                <w:sz w:val="28"/>
                <w:szCs w:val="28"/>
              </w:rPr>
              <w:t>28.738</w:t>
            </w:r>
          </w:p>
        </w:tc>
      </w:tr>
      <w:tr w:rsidR="00272FDF" w14:paraId="61F0D9B6"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FA6B84" w14:textId="77777777" w:rsidR="00272FDF" w:rsidRDefault="00272FDF">
            <w:pPr>
              <w:jc w:val="center"/>
              <w:rPr>
                <w:color w:val="000000"/>
                <w:sz w:val="28"/>
                <w:szCs w:val="28"/>
              </w:rPr>
            </w:pPr>
            <w:r>
              <w:rPr>
                <w:color w:val="000000"/>
                <w:sz w:val="28"/>
                <w:szCs w:val="28"/>
              </w:rPr>
              <w:t>2024</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FB77F3" w14:textId="77777777" w:rsidR="00272FDF" w:rsidRDefault="00272FDF">
            <w:pPr>
              <w:jc w:val="center"/>
              <w:rPr>
                <w:color w:val="000000"/>
                <w:sz w:val="28"/>
                <w:szCs w:val="28"/>
              </w:rPr>
            </w:pPr>
            <w:r>
              <w:rPr>
                <w:color w:val="000000"/>
                <w:sz w:val="28"/>
                <w:szCs w:val="28"/>
              </w:rPr>
              <w:t>97.051</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09358CAF" w14:textId="77777777" w:rsidR="00272FDF" w:rsidRDefault="00272FDF">
            <w:pPr>
              <w:jc w:val="center"/>
              <w:rPr>
                <w:color w:val="000000"/>
                <w:sz w:val="28"/>
                <w:szCs w:val="28"/>
              </w:rPr>
            </w:pPr>
            <w:r>
              <w:rPr>
                <w:color w:val="000000"/>
                <w:sz w:val="28"/>
                <w:szCs w:val="28"/>
              </w:rPr>
              <w:t>52,63</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62BC29" w14:textId="77777777" w:rsidR="00272FDF" w:rsidRDefault="00272FDF">
            <w:pPr>
              <w:jc w:val="center"/>
              <w:rPr>
                <w:color w:val="000000"/>
                <w:sz w:val="28"/>
                <w:szCs w:val="28"/>
              </w:rPr>
            </w:pPr>
            <w:r>
              <w:rPr>
                <w:color w:val="000000"/>
                <w:sz w:val="28"/>
                <w:szCs w:val="28"/>
              </w:rPr>
              <w:t>12.457</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D95FA3" w14:textId="77777777" w:rsidR="00272FDF" w:rsidRDefault="00272FDF">
            <w:pPr>
              <w:jc w:val="center"/>
              <w:rPr>
                <w:color w:val="000000"/>
                <w:sz w:val="28"/>
                <w:szCs w:val="28"/>
              </w:rPr>
            </w:pPr>
            <w:r>
              <w:rPr>
                <w:color w:val="000000"/>
                <w:sz w:val="28"/>
                <w:szCs w:val="28"/>
              </w:rPr>
              <w:t>5.392</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36DBE3" w14:textId="77777777" w:rsidR="00272FDF" w:rsidRDefault="00272FDF">
            <w:pPr>
              <w:jc w:val="center"/>
              <w:rPr>
                <w:color w:val="000000"/>
                <w:sz w:val="28"/>
                <w:szCs w:val="28"/>
              </w:rPr>
            </w:pPr>
            <w:r>
              <w:rPr>
                <w:color w:val="000000"/>
                <w:sz w:val="28"/>
                <w:szCs w:val="28"/>
              </w:rPr>
              <w:t>2.931</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9E6E0E" w14:textId="77777777" w:rsidR="00272FDF" w:rsidRDefault="00272FDF">
            <w:pPr>
              <w:jc w:val="center"/>
              <w:rPr>
                <w:color w:val="000000"/>
                <w:sz w:val="28"/>
                <w:szCs w:val="28"/>
              </w:rPr>
            </w:pPr>
            <w:r>
              <w:rPr>
                <w:color w:val="000000"/>
                <w:sz w:val="28"/>
                <w:szCs w:val="28"/>
              </w:rPr>
              <w:t>30.302</w:t>
            </w:r>
          </w:p>
        </w:tc>
      </w:tr>
      <w:tr w:rsidR="00272FDF" w14:paraId="3E3526BC"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DD1805" w14:textId="77777777" w:rsidR="00272FDF" w:rsidRDefault="00272FDF">
            <w:pPr>
              <w:jc w:val="center"/>
              <w:rPr>
                <w:color w:val="000000"/>
                <w:sz w:val="28"/>
                <w:szCs w:val="28"/>
              </w:rPr>
            </w:pPr>
            <w:r>
              <w:rPr>
                <w:color w:val="000000"/>
                <w:sz w:val="28"/>
                <w:szCs w:val="28"/>
              </w:rPr>
              <w:t>2023</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EF7028" w14:textId="77777777" w:rsidR="00272FDF" w:rsidRDefault="00272FDF">
            <w:pPr>
              <w:jc w:val="center"/>
              <w:rPr>
                <w:color w:val="000000"/>
                <w:sz w:val="28"/>
                <w:szCs w:val="28"/>
              </w:rPr>
            </w:pPr>
            <w:r>
              <w:rPr>
                <w:color w:val="000000"/>
                <w:sz w:val="28"/>
                <w:szCs w:val="28"/>
              </w:rPr>
              <w:t>96.459</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6FAE5737" w14:textId="77777777" w:rsidR="00272FDF" w:rsidRDefault="00272FDF">
            <w:pPr>
              <w:jc w:val="center"/>
              <w:rPr>
                <w:color w:val="000000"/>
                <w:sz w:val="28"/>
                <w:szCs w:val="28"/>
              </w:rPr>
            </w:pPr>
            <w:r>
              <w:rPr>
                <w:color w:val="000000"/>
                <w:sz w:val="28"/>
                <w:szCs w:val="28"/>
              </w:rPr>
              <w:t>51,15</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54CB06" w14:textId="77777777" w:rsidR="00272FDF" w:rsidRDefault="00272FDF">
            <w:pPr>
              <w:jc w:val="center"/>
              <w:rPr>
                <w:color w:val="000000"/>
                <w:sz w:val="28"/>
                <w:szCs w:val="28"/>
              </w:rPr>
            </w:pPr>
            <w:r>
              <w:rPr>
                <w:color w:val="000000"/>
                <w:sz w:val="28"/>
                <w:szCs w:val="28"/>
              </w:rPr>
              <w:t>12.119</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FD6A56" w14:textId="77777777" w:rsidR="00272FDF" w:rsidRDefault="00272FDF">
            <w:pPr>
              <w:jc w:val="center"/>
              <w:rPr>
                <w:color w:val="000000"/>
                <w:sz w:val="28"/>
                <w:szCs w:val="28"/>
              </w:rPr>
            </w:pPr>
            <w:r>
              <w:rPr>
                <w:color w:val="000000"/>
                <w:sz w:val="28"/>
                <w:szCs w:val="28"/>
              </w:rPr>
              <w:t>4.895</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E5582F" w14:textId="77777777" w:rsidR="00272FDF" w:rsidRDefault="00272FDF">
            <w:pPr>
              <w:jc w:val="center"/>
              <w:rPr>
                <w:color w:val="000000"/>
                <w:sz w:val="28"/>
                <w:szCs w:val="28"/>
              </w:rPr>
            </w:pPr>
            <w:r>
              <w:rPr>
                <w:color w:val="000000"/>
                <w:sz w:val="28"/>
                <w:szCs w:val="28"/>
              </w:rPr>
              <w:t>2.778</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A74CEFB" w14:textId="77777777" w:rsidR="00272FDF" w:rsidRDefault="00272FDF">
            <w:pPr>
              <w:jc w:val="center"/>
              <w:rPr>
                <w:color w:val="000000"/>
                <w:sz w:val="28"/>
                <w:szCs w:val="28"/>
              </w:rPr>
            </w:pPr>
            <w:r>
              <w:rPr>
                <w:color w:val="000000"/>
                <w:sz w:val="28"/>
                <w:szCs w:val="28"/>
              </w:rPr>
              <w:t>29.547</w:t>
            </w:r>
          </w:p>
        </w:tc>
      </w:tr>
      <w:tr w:rsidR="00272FDF" w14:paraId="6CD849BF"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1BD2F1" w14:textId="77777777" w:rsidR="00272FDF" w:rsidRDefault="00272FDF">
            <w:pPr>
              <w:jc w:val="center"/>
              <w:rPr>
                <w:color w:val="000000"/>
                <w:sz w:val="28"/>
                <w:szCs w:val="28"/>
              </w:rPr>
            </w:pPr>
            <w:r>
              <w:rPr>
                <w:color w:val="000000"/>
                <w:sz w:val="28"/>
                <w:szCs w:val="28"/>
              </w:rPr>
              <w:t>2022</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781674" w14:textId="77777777" w:rsidR="00272FDF" w:rsidRDefault="00272FDF">
            <w:pPr>
              <w:jc w:val="center"/>
              <w:rPr>
                <w:color w:val="000000"/>
                <w:sz w:val="28"/>
                <w:szCs w:val="28"/>
              </w:rPr>
            </w:pPr>
            <w:r>
              <w:rPr>
                <w:color w:val="000000"/>
                <w:sz w:val="28"/>
                <w:szCs w:val="28"/>
              </w:rPr>
              <w:t>96.924</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6002551A" w14:textId="77777777" w:rsidR="00272FDF" w:rsidRDefault="00272FDF">
            <w:pPr>
              <w:jc w:val="center"/>
              <w:rPr>
                <w:color w:val="000000"/>
                <w:sz w:val="28"/>
                <w:szCs w:val="28"/>
              </w:rPr>
            </w:pPr>
            <w:r>
              <w:rPr>
                <w:color w:val="000000"/>
                <w:sz w:val="28"/>
                <w:szCs w:val="28"/>
              </w:rPr>
              <w:t>49,72</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87B51D" w14:textId="77777777" w:rsidR="00272FDF" w:rsidRDefault="00272FDF">
            <w:pPr>
              <w:jc w:val="center"/>
              <w:rPr>
                <w:color w:val="000000"/>
                <w:sz w:val="28"/>
                <w:szCs w:val="28"/>
              </w:rPr>
            </w:pPr>
            <w:r>
              <w:rPr>
                <w:color w:val="000000"/>
                <w:sz w:val="28"/>
                <w:szCs w:val="28"/>
              </w:rPr>
              <w:t>12.019</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3BFE3C" w14:textId="77777777" w:rsidR="00272FDF" w:rsidRDefault="00272FDF">
            <w:pPr>
              <w:jc w:val="center"/>
              <w:rPr>
                <w:color w:val="000000"/>
                <w:sz w:val="28"/>
                <w:szCs w:val="28"/>
              </w:rPr>
            </w:pPr>
            <w:r>
              <w:rPr>
                <w:color w:val="000000"/>
                <w:sz w:val="28"/>
                <w:szCs w:val="28"/>
              </w:rPr>
              <w:t>4.587</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9548CC" w14:textId="77777777" w:rsidR="00272FDF" w:rsidRDefault="00272FDF">
            <w:pPr>
              <w:jc w:val="center"/>
              <w:rPr>
                <w:color w:val="000000"/>
                <w:sz w:val="28"/>
                <w:szCs w:val="28"/>
              </w:rPr>
            </w:pPr>
            <w:r>
              <w:rPr>
                <w:color w:val="000000"/>
                <w:sz w:val="28"/>
                <w:szCs w:val="28"/>
              </w:rPr>
              <w:t>2.669</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167D79" w14:textId="77777777" w:rsidR="00272FDF" w:rsidRDefault="00272FDF">
            <w:pPr>
              <w:jc w:val="center"/>
              <w:rPr>
                <w:color w:val="000000"/>
                <w:sz w:val="28"/>
                <w:szCs w:val="28"/>
              </w:rPr>
            </w:pPr>
            <w:r>
              <w:rPr>
                <w:color w:val="000000"/>
                <w:sz w:val="28"/>
                <w:szCs w:val="28"/>
              </w:rPr>
              <w:t>28.911</w:t>
            </w:r>
          </w:p>
        </w:tc>
      </w:tr>
      <w:tr w:rsidR="00272FDF" w14:paraId="149FF84C" w14:textId="77777777" w:rsidTr="00272FDF">
        <w:trPr>
          <w:trHeight w:val="375"/>
        </w:trPr>
        <w:tc>
          <w:tcPr>
            <w:tcW w:w="45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920678" w14:textId="77777777" w:rsidR="00272FDF" w:rsidRDefault="00272FDF">
            <w:pPr>
              <w:jc w:val="center"/>
              <w:rPr>
                <w:color w:val="000000"/>
                <w:sz w:val="28"/>
                <w:szCs w:val="28"/>
              </w:rPr>
            </w:pPr>
            <w:r>
              <w:rPr>
                <w:color w:val="000000"/>
                <w:sz w:val="28"/>
                <w:szCs w:val="28"/>
              </w:rPr>
              <w:t>2021</w:t>
            </w:r>
          </w:p>
        </w:tc>
        <w:tc>
          <w:tcPr>
            <w:tcW w:w="65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0EFA97" w14:textId="77777777" w:rsidR="00272FDF" w:rsidRDefault="00272FDF">
            <w:pPr>
              <w:jc w:val="center"/>
              <w:rPr>
                <w:color w:val="000000"/>
                <w:sz w:val="28"/>
                <w:szCs w:val="28"/>
              </w:rPr>
            </w:pPr>
            <w:r>
              <w:rPr>
                <w:color w:val="000000"/>
                <w:sz w:val="28"/>
                <w:szCs w:val="28"/>
              </w:rPr>
              <w:t>97.451</w:t>
            </w:r>
          </w:p>
        </w:tc>
        <w:tc>
          <w:tcPr>
            <w:tcW w:w="779" w:type="pct"/>
            <w:tcBorders>
              <w:top w:val="nil"/>
              <w:left w:val="nil"/>
              <w:bottom w:val="single" w:sz="4" w:space="0" w:color="auto"/>
              <w:right w:val="single" w:sz="4" w:space="0" w:color="auto"/>
            </w:tcBorders>
            <w:shd w:val="clear" w:color="000000" w:fill="A5C9EB"/>
            <w:noWrap/>
            <w:tcMar>
              <w:top w:w="15" w:type="dxa"/>
              <w:left w:w="15" w:type="dxa"/>
              <w:bottom w:w="0" w:type="dxa"/>
              <w:right w:w="15" w:type="dxa"/>
            </w:tcMar>
            <w:vAlign w:val="center"/>
            <w:hideMark/>
          </w:tcPr>
          <w:p w14:paraId="02B05A43" w14:textId="77777777" w:rsidR="00272FDF" w:rsidRDefault="00272FDF">
            <w:pPr>
              <w:jc w:val="center"/>
              <w:rPr>
                <w:color w:val="000000"/>
                <w:sz w:val="28"/>
                <w:szCs w:val="28"/>
              </w:rPr>
            </w:pPr>
            <w:r>
              <w:rPr>
                <w:color w:val="000000"/>
                <w:sz w:val="28"/>
                <w:szCs w:val="28"/>
              </w:rPr>
              <w:t>47,91</w:t>
            </w:r>
          </w:p>
        </w:tc>
        <w:tc>
          <w:tcPr>
            <w:tcW w:w="77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8362EE" w14:textId="77777777" w:rsidR="00272FDF" w:rsidRDefault="00272FDF">
            <w:pPr>
              <w:jc w:val="center"/>
              <w:rPr>
                <w:color w:val="000000"/>
                <w:sz w:val="28"/>
                <w:szCs w:val="28"/>
              </w:rPr>
            </w:pPr>
            <w:r>
              <w:rPr>
                <w:color w:val="000000"/>
                <w:sz w:val="28"/>
                <w:szCs w:val="28"/>
              </w:rPr>
              <w:t>11.945</w:t>
            </w:r>
          </w:p>
        </w:tc>
        <w:tc>
          <w:tcPr>
            <w:tcW w:w="74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770CD8" w14:textId="77777777" w:rsidR="00272FDF" w:rsidRDefault="00272FDF">
            <w:pPr>
              <w:jc w:val="center"/>
              <w:rPr>
                <w:color w:val="000000"/>
                <w:sz w:val="28"/>
                <w:szCs w:val="28"/>
              </w:rPr>
            </w:pPr>
            <w:r>
              <w:rPr>
                <w:color w:val="000000"/>
                <w:sz w:val="28"/>
                <w:szCs w:val="28"/>
              </w:rPr>
              <w:t>4.165</w:t>
            </w:r>
          </w:p>
        </w:tc>
        <w:tc>
          <w:tcPr>
            <w:tcW w:w="81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33496C9" w14:textId="77777777" w:rsidR="00272FDF" w:rsidRDefault="00272FDF">
            <w:pPr>
              <w:jc w:val="center"/>
              <w:rPr>
                <w:color w:val="000000"/>
                <w:sz w:val="28"/>
                <w:szCs w:val="28"/>
              </w:rPr>
            </w:pPr>
            <w:r>
              <w:rPr>
                <w:color w:val="000000"/>
                <w:sz w:val="28"/>
                <w:szCs w:val="28"/>
              </w:rPr>
              <w:t>2.712</w:t>
            </w:r>
          </w:p>
        </w:tc>
        <w:tc>
          <w:tcPr>
            <w:tcW w:w="77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89481B" w14:textId="77777777" w:rsidR="00272FDF" w:rsidRDefault="00272FDF">
            <w:pPr>
              <w:jc w:val="center"/>
              <w:rPr>
                <w:color w:val="000000"/>
                <w:sz w:val="28"/>
                <w:szCs w:val="28"/>
              </w:rPr>
            </w:pPr>
            <w:r>
              <w:rPr>
                <w:color w:val="000000"/>
                <w:sz w:val="28"/>
                <w:szCs w:val="28"/>
              </w:rPr>
              <w:t>27.866</w:t>
            </w:r>
          </w:p>
        </w:tc>
      </w:tr>
    </w:tbl>
    <w:p w14:paraId="0C3FDE78" w14:textId="580546D6" w:rsidR="005B1847" w:rsidRPr="0043515C" w:rsidRDefault="00272FDF" w:rsidP="00367071">
      <w:pPr>
        <w:tabs>
          <w:tab w:val="left" w:pos="851"/>
        </w:tabs>
        <w:spacing w:before="120" w:line="252" w:lineRule="auto"/>
        <w:ind w:firstLine="567"/>
        <w:jc w:val="both"/>
        <w:rPr>
          <w:rFonts w:asciiTheme="majorHAnsi" w:eastAsia="Calibri" w:hAnsiTheme="majorHAnsi" w:cstheme="majorHAnsi"/>
          <w:sz w:val="28"/>
          <w:szCs w:val="28"/>
          <w:lang w:val="en-AU"/>
        </w:rPr>
      </w:pPr>
      <w:r w:rsidRPr="0043515C">
        <w:rPr>
          <w:rFonts w:asciiTheme="majorHAnsi" w:eastAsia="Calibri" w:hAnsiTheme="majorHAnsi" w:cstheme="majorHAnsi"/>
          <w:sz w:val="28"/>
          <w:szCs w:val="28"/>
          <w:lang w:val="en-AU"/>
        </w:rPr>
        <w:t xml:space="preserve"> </w:t>
      </w:r>
      <w:r w:rsidR="004F7537" w:rsidRPr="0043515C">
        <w:rPr>
          <w:rFonts w:asciiTheme="majorHAnsi" w:eastAsia="Calibri" w:hAnsiTheme="majorHAnsi" w:cstheme="majorHAnsi"/>
          <w:sz w:val="28"/>
          <w:szCs w:val="28"/>
          <w:lang w:val="en-AU"/>
        </w:rPr>
        <w:t>(*) Số lượng CBQL giảm đáng kể sau khi tinh gọn theo Nghị quyết 18.</w:t>
      </w:r>
    </w:p>
    <w:p w14:paraId="17D2FB75" w14:textId="4C18F683" w:rsidR="00465C19" w:rsidRPr="0043515C" w:rsidRDefault="000B4BFF" w:rsidP="00367071">
      <w:pPr>
        <w:tabs>
          <w:tab w:val="left" w:pos="851"/>
        </w:tabs>
        <w:spacing w:before="120" w:line="252" w:lineRule="auto"/>
        <w:ind w:firstLine="567"/>
        <w:jc w:val="both"/>
        <w:rPr>
          <w:rFonts w:asciiTheme="majorHAnsi" w:hAnsiTheme="majorHAnsi" w:cstheme="majorHAnsi"/>
          <w:b/>
          <w:bCs/>
          <w:sz w:val="28"/>
          <w:szCs w:val="28"/>
        </w:rPr>
      </w:pPr>
      <w:r w:rsidRPr="0043515C">
        <w:rPr>
          <w:rFonts w:asciiTheme="majorHAnsi" w:hAnsiTheme="majorHAnsi" w:cstheme="majorHAnsi"/>
          <w:b/>
          <w:bCs/>
          <w:sz w:val="28"/>
          <w:szCs w:val="28"/>
        </w:rPr>
        <w:lastRenderedPageBreak/>
        <w:t>2</w:t>
      </w:r>
      <w:r w:rsidR="000B08E1" w:rsidRPr="0043515C">
        <w:rPr>
          <w:rFonts w:asciiTheme="majorHAnsi" w:hAnsiTheme="majorHAnsi" w:cstheme="majorHAnsi"/>
          <w:b/>
          <w:bCs/>
          <w:sz w:val="28"/>
          <w:szCs w:val="28"/>
        </w:rPr>
        <w:t xml:space="preserve">. </w:t>
      </w:r>
      <w:r w:rsidR="00465C19" w:rsidRPr="0043515C">
        <w:rPr>
          <w:rFonts w:asciiTheme="majorHAnsi" w:hAnsiTheme="majorHAnsi" w:cstheme="majorHAnsi"/>
          <w:b/>
          <w:bCs/>
          <w:sz w:val="28"/>
          <w:szCs w:val="28"/>
        </w:rPr>
        <w:t>Công tác đào tạo nâng cao chất lượng nguồn nhân lực</w:t>
      </w:r>
    </w:p>
    <w:p w14:paraId="66E2F844" w14:textId="77777777" w:rsidR="00272FDF" w:rsidRDefault="00A420EF" w:rsidP="00272FDF">
      <w:pPr>
        <w:widowControl w:val="0"/>
        <w:tabs>
          <w:tab w:val="left" w:pos="851"/>
        </w:tabs>
        <w:adjustRightInd w:val="0"/>
        <w:snapToGrid w:val="0"/>
        <w:spacing w:before="120" w:line="252" w:lineRule="auto"/>
        <w:ind w:firstLine="567"/>
        <w:jc w:val="both"/>
        <w:rPr>
          <w:rFonts w:asciiTheme="majorHAnsi" w:hAnsiTheme="majorHAnsi" w:cstheme="majorHAnsi"/>
          <w:spacing w:val="-4"/>
          <w:sz w:val="28"/>
          <w:szCs w:val="28"/>
          <w:lang w:val="nl-NL"/>
        </w:rPr>
      </w:pPr>
      <w:r w:rsidRPr="0043515C">
        <w:rPr>
          <w:rFonts w:asciiTheme="majorHAnsi" w:hAnsiTheme="majorHAnsi" w:cstheme="majorHAnsi"/>
          <w:sz w:val="28"/>
          <w:szCs w:val="28"/>
          <w:lang w:val="nl-NL"/>
        </w:rPr>
        <w:t>Trong giai đoạn 2021-2025, đối mặt đại dịch Covid-19 và khó khăn về tài chính, c</w:t>
      </w:r>
      <w:r w:rsidRPr="0043515C">
        <w:rPr>
          <w:rFonts w:asciiTheme="majorHAnsi" w:hAnsiTheme="majorHAnsi" w:cstheme="majorHAnsi"/>
          <w:spacing w:val="-4"/>
          <w:sz w:val="28"/>
          <w:szCs w:val="28"/>
          <w:lang w:val="nl-NL"/>
        </w:rPr>
        <w:t>ông tác ĐTPTNNL vẫn được duy trì tổ chức một cách hệ thống, chuyển đổi linh hoạt sang các nền tảng số để CBCNV, đặc biệt CNV sản xuất trực tiếp được đào tạo thường xuyên, đáp ứng yêu cầu công việc</w:t>
      </w:r>
      <w:r w:rsidRPr="0043515C">
        <w:rPr>
          <w:rFonts w:asciiTheme="majorHAnsi" w:hAnsiTheme="majorHAnsi" w:cstheme="majorHAnsi"/>
          <w:sz w:val="28"/>
          <w:szCs w:val="28"/>
          <w:lang w:val="nl-NL"/>
        </w:rPr>
        <w:t>. T</w:t>
      </w:r>
      <w:r w:rsidRPr="0043515C">
        <w:rPr>
          <w:rFonts w:asciiTheme="majorHAnsi" w:hAnsiTheme="majorHAnsi" w:cstheme="majorHAnsi"/>
          <w:spacing w:val="-4"/>
          <w:sz w:val="28"/>
          <w:szCs w:val="28"/>
          <w:lang w:val="nl-NL"/>
        </w:rPr>
        <w:t>ổng số lượt đào tạo tập trung trong toàn Tập đoàn đạt 2.232.576 lượt người, tổng số lượt học E-learning đạt 8.071.645 lượt (gấp gần 4 lần đào tạo tập trung), 1.427 bài giảng E-learning được xây dựng mới và 19.768 cuộc thi (chủ yếu là sát hạch nghề, thi lý thuyết nâng, giữ bậc) được tổ chức trên E-learning.</w:t>
      </w:r>
    </w:p>
    <w:p w14:paraId="73106115" w14:textId="47216315" w:rsidR="00A420EF" w:rsidRPr="0043515C" w:rsidRDefault="00A420EF" w:rsidP="00272FDF">
      <w:pPr>
        <w:widowControl w:val="0"/>
        <w:tabs>
          <w:tab w:val="left" w:pos="851"/>
        </w:tabs>
        <w:adjustRightInd w:val="0"/>
        <w:snapToGrid w:val="0"/>
        <w:spacing w:before="120" w:after="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b/>
          <w:bCs/>
          <w:sz w:val="28"/>
          <w:szCs w:val="28"/>
          <w:lang w:val="nl-NL"/>
        </w:rPr>
        <w:t>Bảng 3.</w:t>
      </w:r>
      <w:r w:rsidRPr="0043515C">
        <w:rPr>
          <w:rFonts w:asciiTheme="majorHAnsi" w:hAnsiTheme="majorHAnsi" w:cstheme="majorHAnsi"/>
          <w:sz w:val="28"/>
          <w:szCs w:val="28"/>
          <w:lang w:val="nl-NL"/>
        </w:rPr>
        <w:t xml:space="preserve"> Kết quả đào tạo giai đoạn 2021-2025</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01"/>
        <w:gridCol w:w="2053"/>
        <w:gridCol w:w="2020"/>
        <w:gridCol w:w="2396"/>
      </w:tblGrid>
      <w:tr w:rsidR="00A420EF" w:rsidRPr="0043515C" w14:paraId="287B0351" w14:textId="77777777" w:rsidTr="00A420EF">
        <w:trPr>
          <w:trHeight w:val="1320"/>
          <w:jc w:val="center"/>
        </w:trPr>
        <w:tc>
          <w:tcPr>
            <w:tcW w:w="1134" w:type="dxa"/>
            <w:vAlign w:val="center"/>
            <w:hideMark/>
          </w:tcPr>
          <w:p w14:paraId="4D3FB198"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Năm</w:t>
            </w:r>
          </w:p>
        </w:tc>
        <w:tc>
          <w:tcPr>
            <w:tcW w:w="0" w:type="auto"/>
            <w:vAlign w:val="center"/>
            <w:hideMark/>
          </w:tcPr>
          <w:p w14:paraId="7FC5E26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Tổng số lượt đào tạo trực tiếp</w:t>
            </w:r>
          </w:p>
        </w:tc>
        <w:tc>
          <w:tcPr>
            <w:tcW w:w="0" w:type="auto"/>
            <w:vAlign w:val="center"/>
            <w:hideMark/>
          </w:tcPr>
          <w:p w14:paraId="658B0299"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Số lượt đào tạo trung bình</w:t>
            </w:r>
          </w:p>
          <w:p w14:paraId="20EF938E"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i/>
                <w:iCs/>
                <w:sz w:val="28"/>
                <w:szCs w:val="28"/>
                <w:lang w:eastAsia="zh-CN"/>
              </w:rPr>
            </w:pPr>
            <w:r w:rsidRPr="0043515C">
              <w:rPr>
                <w:rFonts w:asciiTheme="majorHAnsi" w:hAnsiTheme="majorHAnsi" w:cstheme="majorHAnsi"/>
                <w:i/>
                <w:iCs/>
                <w:sz w:val="28"/>
                <w:szCs w:val="28"/>
                <w:lang w:eastAsia="zh-CN"/>
              </w:rPr>
              <w:t>(lượt/người)</w:t>
            </w:r>
          </w:p>
        </w:tc>
        <w:tc>
          <w:tcPr>
            <w:tcW w:w="0" w:type="auto"/>
            <w:vAlign w:val="center"/>
          </w:tcPr>
          <w:p w14:paraId="21FC7E9D"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Tổng số lượt đào tạo E-learning</w:t>
            </w:r>
          </w:p>
        </w:tc>
        <w:tc>
          <w:tcPr>
            <w:tcW w:w="0" w:type="auto"/>
            <w:vAlign w:val="center"/>
          </w:tcPr>
          <w:p w14:paraId="6E920035"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b/>
                <w:bCs/>
                <w:sz w:val="28"/>
                <w:szCs w:val="28"/>
                <w:lang w:eastAsia="zh-CN"/>
              </w:rPr>
              <w:t>Số lượt học đạt E-learning trung bình</w:t>
            </w:r>
          </w:p>
          <w:p w14:paraId="721EF3C7"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i/>
                <w:iCs/>
                <w:sz w:val="28"/>
                <w:szCs w:val="28"/>
                <w:lang w:eastAsia="zh-CN"/>
              </w:rPr>
              <w:t>(lượt/người)</w:t>
            </w:r>
          </w:p>
        </w:tc>
      </w:tr>
      <w:tr w:rsidR="00A420EF" w:rsidRPr="0043515C" w14:paraId="73A894F1" w14:textId="77777777" w:rsidTr="00A420EF">
        <w:trPr>
          <w:trHeight w:val="330"/>
          <w:jc w:val="center"/>
        </w:trPr>
        <w:tc>
          <w:tcPr>
            <w:tcW w:w="1134" w:type="dxa"/>
            <w:vAlign w:val="center"/>
            <w:hideMark/>
          </w:tcPr>
          <w:p w14:paraId="123B152B"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2021</w:t>
            </w:r>
          </w:p>
        </w:tc>
        <w:tc>
          <w:tcPr>
            <w:tcW w:w="0" w:type="auto"/>
            <w:vAlign w:val="center"/>
          </w:tcPr>
          <w:p w14:paraId="6236A0F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402.868</w:t>
            </w:r>
          </w:p>
        </w:tc>
        <w:tc>
          <w:tcPr>
            <w:tcW w:w="0" w:type="auto"/>
            <w:vAlign w:val="center"/>
          </w:tcPr>
          <w:p w14:paraId="64C9836F"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4,1</w:t>
            </w:r>
          </w:p>
        </w:tc>
        <w:tc>
          <w:tcPr>
            <w:tcW w:w="0" w:type="auto"/>
            <w:vAlign w:val="center"/>
          </w:tcPr>
          <w:p w14:paraId="21C42E8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b/>
                <w:bCs/>
                <w:sz w:val="28"/>
                <w:szCs w:val="28"/>
                <w:lang w:eastAsia="zh-CN"/>
              </w:rPr>
            </w:pPr>
            <w:r w:rsidRPr="0043515C">
              <w:rPr>
                <w:rFonts w:asciiTheme="majorHAnsi" w:hAnsiTheme="majorHAnsi" w:cstheme="majorHAnsi"/>
                <w:sz w:val="28"/>
                <w:szCs w:val="28"/>
                <w:lang w:eastAsia="zh-CN"/>
              </w:rPr>
              <w:t>1.441.223</w:t>
            </w:r>
          </w:p>
        </w:tc>
        <w:tc>
          <w:tcPr>
            <w:tcW w:w="0" w:type="auto"/>
            <w:vAlign w:val="center"/>
          </w:tcPr>
          <w:p w14:paraId="7E3934B9"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14,8</w:t>
            </w:r>
          </w:p>
        </w:tc>
      </w:tr>
      <w:tr w:rsidR="00A420EF" w:rsidRPr="0043515C" w14:paraId="08158D55" w14:textId="77777777" w:rsidTr="00A420EF">
        <w:trPr>
          <w:trHeight w:val="330"/>
          <w:jc w:val="center"/>
        </w:trPr>
        <w:tc>
          <w:tcPr>
            <w:tcW w:w="1134" w:type="dxa"/>
            <w:vAlign w:val="center"/>
            <w:hideMark/>
          </w:tcPr>
          <w:p w14:paraId="2566C595"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2022</w:t>
            </w:r>
          </w:p>
        </w:tc>
        <w:tc>
          <w:tcPr>
            <w:tcW w:w="0" w:type="auto"/>
            <w:vAlign w:val="center"/>
          </w:tcPr>
          <w:p w14:paraId="64DDA36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454.572</w:t>
            </w:r>
          </w:p>
        </w:tc>
        <w:tc>
          <w:tcPr>
            <w:tcW w:w="0" w:type="auto"/>
            <w:vAlign w:val="center"/>
          </w:tcPr>
          <w:p w14:paraId="25D20A2C"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4,7</w:t>
            </w:r>
          </w:p>
        </w:tc>
        <w:tc>
          <w:tcPr>
            <w:tcW w:w="0" w:type="auto"/>
            <w:vAlign w:val="center"/>
          </w:tcPr>
          <w:p w14:paraId="05DD0178"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1.498.808</w:t>
            </w:r>
          </w:p>
        </w:tc>
        <w:tc>
          <w:tcPr>
            <w:tcW w:w="0" w:type="auto"/>
            <w:vAlign w:val="center"/>
          </w:tcPr>
          <w:p w14:paraId="0A8E170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15,5</w:t>
            </w:r>
          </w:p>
        </w:tc>
      </w:tr>
      <w:tr w:rsidR="00A420EF" w:rsidRPr="0043515C" w14:paraId="30CC9A61" w14:textId="77777777" w:rsidTr="00A420EF">
        <w:trPr>
          <w:trHeight w:val="330"/>
          <w:jc w:val="center"/>
        </w:trPr>
        <w:tc>
          <w:tcPr>
            <w:tcW w:w="1134" w:type="dxa"/>
            <w:vAlign w:val="center"/>
            <w:hideMark/>
          </w:tcPr>
          <w:p w14:paraId="3DDBB50B"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2023</w:t>
            </w:r>
          </w:p>
        </w:tc>
        <w:tc>
          <w:tcPr>
            <w:tcW w:w="0" w:type="auto"/>
            <w:noWrap/>
            <w:vAlign w:val="center"/>
          </w:tcPr>
          <w:p w14:paraId="68223B4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476.233</w:t>
            </w:r>
          </w:p>
        </w:tc>
        <w:tc>
          <w:tcPr>
            <w:tcW w:w="0" w:type="auto"/>
            <w:noWrap/>
            <w:vAlign w:val="center"/>
            <w:hideMark/>
          </w:tcPr>
          <w:p w14:paraId="0448820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5,0</w:t>
            </w:r>
          </w:p>
        </w:tc>
        <w:tc>
          <w:tcPr>
            <w:tcW w:w="0" w:type="auto"/>
            <w:vAlign w:val="center"/>
          </w:tcPr>
          <w:p w14:paraId="6CB06C8D"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1.965.087</w:t>
            </w:r>
          </w:p>
        </w:tc>
        <w:tc>
          <w:tcPr>
            <w:tcW w:w="0" w:type="auto"/>
            <w:vAlign w:val="center"/>
          </w:tcPr>
          <w:p w14:paraId="474157A8"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20,5</w:t>
            </w:r>
          </w:p>
        </w:tc>
      </w:tr>
      <w:tr w:rsidR="00A420EF" w:rsidRPr="0043515C" w14:paraId="550DB963" w14:textId="77777777" w:rsidTr="00A420EF">
        <w:trPr>
          <w:trHeight w:val="330"/>
          <w:jc w:val="center"/>
        </w:trPr>
        <w:tc>
          <w:tcPr>
            <w:tcW w:w="1134" w:type="dxa"/>
            <w:vAlign w:val="center"/>
          </w:tcPr>
          <w:p w14:paraId="344B469E"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2024</w:t>
            </w:r>
          </w:p>
        </w:tc>
        <w:tc>
          <w:tcPr>
            <w:tcW w:w="0" w:type="auto"/>
            <w:noWrap/>
            <w:vAlign w:val="center"/>
          </w:tcPr>
          <w:p w14:paraId="3DA048AE"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431.575</w:t>
            </w:r>
          </w:p>
        </w:tc>
        <w:tc>
          <w:tcPr>
            <w:tcW w:w="0" w:type="auto"/>
            <w:noWrap/>
            <w:vAlign w:val="center"/>
          </w:tcPr>
          <w:p w14:paraId="49110DDB"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4,5</w:t>
            </w:r>
          </w:p>
        </w:tc>
        <w:tc>
          <w:tcPr>
            <w:tcW w:w="0" w:type="auto"/>
            <w:vAlign w:val="center"/>
          </w:tcPr>
          <w:p w14:paraId="2E4D71D0"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1.856.379</w:t>
            </w:r>
          </w:p>
        </w:tc>
        <w:tc>
          <w:tcPr>
            <w:tcW w:w="0" w:type="auto"/>
            <w:vAlign w:val="center"/>
          </w:tcPr>
          <w:p w14:paraId="6C13F793"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19,4</w:t>
            </w:r>
          </w:p>
        </w:tc>
      </w:tr>
      <w:tr w:rsidR="00A420EF" w:rsidRPr="0043515C" w14:paraId="6187E003" w14:textId="77777777" w:rsidTr="00A420EF">
        <w:trPr>
          <w:trHeight w:val="330"/>
          <w:jc w:val="center"/>
        </w:trPr>
        <w:tc>
          <w:tcPr>
            <w:tcW w:w="1134" w:type="dxa"/>
            <w:vAlign w:val="center"/>
          </w:tcPr>
          <w:p w14:paraId="0A8DF5E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2025</w:t>
            </w:r>
          </w:p>
        </w:tc>
        <w:tc>
          <w:tcPr>
            <w:tcW w:w="0" w:type="auto"/>
            <w:noWrap/>
            <w:vAlign w:val="center"/>
          </w:tcPr>
          <w:p w14:paraId="539197B0"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467.327</w:t>
            </w:r>
          </w:p>
        </w:tc>
        <w:tc>
          <w:tcPr>
            <w:tcW w:w="0" w:type="auto"/>
            <w:noWrap/>
            <w:vAlign w:val="center"/>
          </w:tcPr>
          <w:p w14:paraId="137511DC"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4,9</w:t>
            </w:r>
          </w:p>
        </w:tc>
        <w:tc>
          <w:tcPr>
            <w:tcW w:w="0" w:type="auto"/>
            <w:vAlign w:val="center"/>
          </w:tcPr>
          <w:p w14:paraId="0D3AE404"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1.310.148</w:t>
            </w:r>
          </w:p>
        </w:tc>
        <w:tc>
          <w:tcPr>
            <w:tcW w:w="0" w:type="auto"/>
            <w:vAlign w:val="center"/>
          </w:tcPr>
          <w:p w14:paraId="274A1EAF" w14:textId="77777777" w:rsidR="00A420EF" w:rsidRPr="0043515C" w:rsidRDefault="00A420EF" w:rsidP="00367071">
            <w:pPr>
              <w:widowControl w:val="0"/>
              <w:adjustRightInd w:val="0"/>
              <w:snapToGrid w:val="0"/>
              <w:spacing w:before="120" w:line="252" w:lineRule="auto"/>
              <w:jc w:val="center"/>
              <w:rPr>
                <w:rFonts w:asciiTheme="majorHAnsi" w:hAnsiTheme="majorHAnsi" w:cstheme="majorHAnsi"/>
                <w:sz w:val="28"/>
                <w:szCs w:val="28"/>
                <w:lang w:eastAsia="zh-CN"/>
              </w:rPr>
            </w:pPr>
            <w:r w:rsidRPr="0043515C">
              <w:rPr>
                <w:rFonts w:asciiTheme="majorHAnsi" w:hAnsiTheme="majorHAnsi" w:cstheme="majorHAnsi"/>
                <w:sz w:val="28"/>
                <w:szCs w:val="28"/>
                <w:lang w:eastAsia="zh-CN"/>
              </w:rPr>
              <w:t>13,7</w:t>
            </w:r>
          </w:p>
        </w:tc>
      </w:tr>
    </w:tbl>
    <w:p w14:paraId="597792CE" w14:textId="77777777" w:rsidR="00EB091A" w:rsidRDefault="00A420EF" w:rsidP="00EB091A">
      <w:pPr>
        <w:pStyle w:val="ListParagraph"/>
        <w:widowControl w:val="0"/>
        <w:tabs>
          <w:tab w:val="left" w:pos="851"/>
        </w:tabs>
        <w:adjustRightInd w:val="0"/>
        <w:snapToGrid w:val="0"/>
        <w:spacing w:before="120" w:after="0" w:line="252" w:lineRule="auto"/>
        <w:ind w:left="0" w:firstLine="567"/>
        <w:jc w:val="both"/>
        <w:rPr>
          <w:rFonts w:asciiTheme="majorHAnsi" w:hAnsiTheme="majorHAnsi" w:cstheme="majorHAnsi"/>
          <w:szCs w:val="28"/>
        </w:rPr>
      </w:pPr>
      <w:r w:rsidRPr="0043515C">
        <w:rPr>
          <w:rFonts w:asciiTheme="majorHAnsi" w:hAnsiTheme="majorHAnsi" w:cstheme="majorHAnsi"/>
          <w:szCs w:val="28"/>
        </w:rPr>
        <w:t>Nhờ áp dụng chuyển đổi số trong đào tạo nên số lượt học chung tăng so với giai đoạn trước</w:t>
      </w:r>
      <w:r w:rsidR="00F810FD" w:rsidRPr="0043515C">
        <w:rPr>
          <w:rFonts w:asciiTheme="majorHAnsi" w:hAnsiTheme="majorHAnsi" w:cstheme="majorHAnsi"/>
          <w:szCs w:val="28"/>
        </w:rPr>
        <w:t>. Tuy nhiên,</w:t>
      </w:r>
      <w:r w:rsidRPr="0043515C">
        <w:rPr>
          <w:rFonts w:asciiTheme="majorHAnsi" w:hAnsiTheme="majorHAnsi" w:cstheme="majorHAnsi"/>
          <w:szCs w:val="28"/>
        </w:rPr>
        <w:t xml:space="preserve"> chi phí đào tạo </w:t>
      </w:r>
      <w:r w:rsidR="00F810FD" w:rsidRPr="0043515C">
        <w:rPr>
          <w:rFonts w:asciiTheme="majorHAnsi" w:hAnsiTheme="majorHAnsi" w:cstheme="majorHAnsi"/>
          <w:szCs w:val="28"/>
        </w:rPr>
        <w:t xml:space="preserve">tập trung </w:t>
      </w:r>
      <w:r w:rsidRPr="0043515C">
        <w:rPr>
          <w:rFonts w:asciiTheme="majorHAnsi" w:hAnsiTheme="majorHAnsi" w:cstheme="majorHAnsi"/>
          <w:szCs w:val="28"/>
        </w:rPr>
        <w:t>trung bình giai đoạn 2021-2025 giảm xuống còn 0,79 triệu đồng/lượt đào tạo so với giai đoạn 2016-2020 là 0,81 triệu đồng/lượt.</w:t>
      </w:r>
    </w:p>
    <w:p w14:paraId="444AE721" w14:textId="0AC5987C" w:rsidR="00A420EF" w:rsidRPr="0043515C" w:rsidRDefault="00A420EF" w:rsidP="00EB091A">
      <w:pPr>
        <w:pStyle w:val="ListParagraph"/>
        <w:widowControl w:val="0"/>
        <w:tabs>
          <w:tab w:val="left" w:pos="851"/>
        </w:tabs>
        <w:adjustRightInd w:val="0"/>
        <w:snapToGrid w:val="0"/>
        <w:spacing w:before="120" w:after="0" w:line="252" w:lineRule="auto"/>
        <w:ind w:left="0" w:firstLine="567"/>
        <w:jc w:val="both"/>
        <w:rPr>
          <w:rFonts w:asciiTheme="majorHAnsi" w:hAnsiTheme="majorHAnsi" w:cstheme="majorHAnsi"/>
          <w:szCs w:val="28"/>
        </w:rPr>
      </w:pPr>
      <w:r w:rsidRPr="0043515C">
        <w:rPr>
          <w:rFonts w:asciiTheme="majorHAnsi" w:hAnsiTheme="majorHAnsi" w:cstheme="majorHAnsi"/>
          <w:b/>
          <w:bCs/>
          <w:szCs w:val="28"/>
        </w:rPr>
        <w:t xml:space="preserve">Hình </w:t>
      </w:r>
      <w:r w:rsidR="00E5163B" w:rsidRPr="0043515C">
        <w:rPr>
          <w:rFonts w:asciiTheme="majorHAnsi" w:hAnsiTheme="majorHAnsi" w:cstheme="majorHAnsi"/>
          <w:b/>
          <w:bCs/>
          <w:szCs w:val="28"/>
        </w:rPr>
        <w:t>2</w:t>
      </w:r>
      <w:r w:rsidRPr="0043515C">
        <w:rPr>
          <w:rFonts w:asciiTheme="majorHAnsi" w:hAnsiTheme="majorHAnsi" w:cstheme="majorHAnsi"/>
          <w:b/>
          <w:bCs/>
          <w:szCs w:val="28"/>
        </w:rPr>
        <w:t>.</w:t>
      </w:r>
      <w:r w:rsidRPr="0043515C">
        <w:rPr>
          <w:rFonts w:asciiTheme="majorHAnsi" w:hAnsiTheme="majorHAnsi" w:cstheme="majorHAnsi"/>
          <w:szCs w:val="28"/>
        </w:rPr>
        <w:t xml:space="preserve"> Chi phí trung bình đào tạo</w:t>
      </w:r>
      <w:r w:rsidR="00F810FD" w:rsidRPr="0043515C">
        <w:rPr>
          <w:rFonts w:asciiTheme="majorHAnsi" w:hAnsiTheme="majorHAnsi" w:cstheme="majorHAnsi"/>
          <w:szCs w:val="28"/>
        </w:rPr>
        <w:t xml:space="preserve"> tập trung cho 1 lượt người</w:t>
      </w:r>
    </w:p>
    <w:p w14:paraId="2A9E7921" w14:textId="77777777" w:rsidR="00A420EF" w:rsidRPr="0043515C" w:rsidRDefault="00A420EF" w:rsidP="00367071">
      <w:pPr>
        <w:pStyle w:val="ListParagraph"/>
        <w:widowControl w:val="0"/>
        <w:tabs>
          <w:tab w:val="left" w:pos="851"/>
        </w:tabs>
        <w:adjustRightInd w:val="0"/>
        <w:snapToGrid w:val="0"/>
        <w:spacing w:before="120" w:after="0" w:line="252" w:lineRule="auto"/>
        <w:ind w:left="0"/>
        <w:jc w:val="center"/>
        <w:rPr>
          <w:rFonts w:asciiTheme="majorHAnsi" w:hAnsiTheme="majorHAnsi" w:cstheme="majorHAnsi"/>
          <w:color w:val="EE0000"/>
          <w:szCs w:val="28"/>
        </w:rPr>
      </w:pPr>
      <w:r w:rsidRPr="0043515C">
        <w:rPr>
          <w:rFonts w:asciiTheme="majorHAnsi" w:hAnsiTheme="majorHAnsi" w:cstheme="majorHAnsi"/>
          <w:noProof/>
          <w:color w:val="EE0000"/>
          <w:szCs w:val="28"/>
        </w:rPr>
        <w:drawing>
          <wp:inline distT="0" distB="0" distL="0" distR="0" wp14:anchorId="08FE4A34" wp14:editId="2E8EA21C">
            <wp:extent cx="4348826" cy="2867629"/>
            <wp:effectExtent l="0" t="0" r="0" b="9525"/>
            <wp:docPr id="1265193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6878" cy="2879533"/>
                    </a:xfrm>
                    <a:prstGeom prst="rect">
                      <a:avLst/>
                    </a:prstGeom>
                    <a:noFill/>
                    <a:ln>
                      <a:noFill/>
                    </a:ln>
                  </pic:spPr>
                </pic:pic>
              </a:graphicData>
            </a:graphic>
          </wp:inline>
        </w:drawing>
      </w:r>
    </w:p>
    <w:p w14:paraId="5634C2BD" w14:textId="77777777" w:rsidR="00A420EF" w:rsidRPr="0043515C" w:rsidRDefault="00A420EF" w:rsidP="00675A6A">
      <w:pPr>
        <w:widowControl w:val="0"/>
        <w:tabs>
          <w:tab w:val="left" w:pos="851"/>
          <w:tab w:val="center" w:pos="4535"/>
        </w:tabs>
        <w:adjustRightInd w:val="0"/>
        <w:snapToGrid w:val="0"/>
        <w:spacing w:before="120" w:line="276"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lastRenderedPageBreak/>
        <w:t>Mặc dù gặp nhiều hạn chế trong cả giai đoạn nhưng EVN và các đơn vị đã tập trung triển khai nhiều chương trình đào tạo phục vụ những định hướng lớn như sau:</w:t>
      </w:r>
    </w:p>
    <w:p w14:paraId="411FAA3F" w14:textId="77777777" w:rsidR="00A420EF" w:rsidRPr="0043515C" w:rsidRDefault="00A420EF" w:rsidP="00675A6A">
      <w:pPr>
        <w:pStyle w:val="ListParagraph"/>
        <w:widowControl w:val="0"/>
        <w:numPr>
          <w:ilvl w:val="0"/>
          <w:numId w:val="22"/>
        </w:numPr>
        <w:tabs>
          <w:tab w:val="left" w:pos="851"/>
          <w:tab w:val="center" w:pos="4535"/>
        </w:tabs>
        <w:adjustRightInd w:val="0"/>
        <w:snapToGrid w:val="0"/>
        <w:spacing w:before="120" w:after="0"/>
        <w:ind w:left="0" w:firstLine="567"/>
        <w:jc w:val="both"/>
        <w:rPr>
          <w:rFonts w:asciiTheme="majorHAnsi" w:hAnsiTheme="majorHAnsi" w:cstheme="majorHAnsi"/>
          <w:szCs w:val="28"/>
          <w:lang w:val="nl-NL"/>
        </w:rPr>
      </w:pPr>
      <w:r w:rsidRPr="0043515C">
        <w:rPr>
          <w:rFonts w:asciiTheme="majorHAnsi" w:hAnsiTheme="majorHAnsi" w:cstheme="majorHAnsi"/>
          <w:szCs w:val="28"/>
          <w:lang w:val="nl-NL"/>
        </w:rPr>
        <w:t>Chuyển đổi số: EVN đã ban hành Quyết định về Kế hoạch đào tạo chuyển đổi số giai đoạn 2023-2025 trong Tập đoàn Điện lực Quốc gia Việt Nam kèm theo Quyết định số 04/QĐ-HĐTV ngày 10/01/2023. Thực hiện Kế hoạch này, trong giai đoạn 2021-2025, số lượt đào tạo về công nghệ thông tin và các hoạt động chuyển đổi số đạt 119.464 lượt học, chiếm hơn 5% tổng số lượt đào tạo, trong đó riêng Tập đoàn đã tổ chức 59 lớp với 1.763 lượt đào tạo. Tuy nhiên, các chương trình đào tạo chủ yếu tập trung cho nhóm CNTT, còn ít các chương trình đào tạo về kỹ năng số cho đa số người lao động. Với sự phát triển nhanh chóng của AI, việc triệt để xây dựng văn hóa số và kỹ năng số, khả năng ứng dụng công nghệ thông tin trong công việc của mặt bằng chung CBCNV vẫn còn hạn chế, đặc biệt với đội ngũ CNV làm việc ở vùng sâu, vùng xa.</w:t>
      </w:r>
    </w:p>
    <w:p w14:paraId="76D307B4" w14:textId="77777777" w:rsidR="00A420EF" w:rsidRPr="0043515C" w:rsidRDefault="00A420EF" w:rsidP="00675A6A">
      <w:pPr>
        <w:pStyle w:val="ListParagraph"/>
        <w:widowControl w:val="0"/>
        <w:tabs>
          <w:tab w:val="left" w:pos="851"/>
        </w:tabs>
        <w:adjustRightInd w:val="0"/>
        <w:snapToGrid w:val="0"/>
        <w:spacing w:before="120" w:after="0"/>
        <w:ind w:left="0" w:firstLine="567"/>
        <w:jc w:val="both"/>
        <w:rPr>
          <w:rFonts w:asciiTheme="majorHAnsi" w:hAnsiTheme="majorHAnsi" w:cstheme="majorHAnsi"/>
          <w:szCs w:val="28"/>
          <w:lang w:val="nl-NL"/>
        </w:rPr>
      </w:pPr>
      <w:r w:rsidRPr="0043515C">
        <w:rPr>
          <w:rFonts w:asciiTheme="majorHAnsi" w:hAnsiTheme="majorHAnsi" w:cstheme="majorHAnsi"/>
          <w:szCs w:val="28"/>
          <w:lang w:val="nl-NL"/>
        </w:rPr>
        <w:t>+ Chuyển dịch năng lượng: EVN và các đơn vị đã tổ chức nhiều chương trình đào tạo về năng lượng tái tạo như điện mặt trời, điện gió, BESS, sự tham gia của năng lượng tái tạo vào hệ thống điện... trong đó mời chuyên gia các nước phát triển năng lượng tái tạo như Anh, Đức, Australia... chia sẻ kinh nghiệm và đào tạo cho cán bộ của EVN. Nhờ đó, khi tỷ trọng năng lượng tái tạo tăng lên rất nhanh trong 3 năm đầu giai đoạn này (đến nay đã đạt gần 30% tổng công suất đặt của hệ thống) hệ thống điện vẫn được vận hành ổn định và tin cậy.</w:t>
      </w:r>
    </w:p>
    <w:p w14:paraId="07054796" w14:textId="1CD90F29" w:rsidR="00A420EF" w:rsidRPr="0043515C" w:rsidRDefault="00A420EF" w:rsidP="00675A6A">
      <w:pPr>
        <w:pStyle w:val="ListParagraph"/>
        <w:widowControl w:val="0"/>
        <w:numPr>
          <w:ilvl w:val="0"/>
          <w:numId w:val="47"/>
        </w:numPr>
        <w:tabs>
          <w:tab w:val="left" w:pos="851"/>
          <w:tab w:val="center" w:pos="4535"/>
        </w:tabs>
        <w:adjustRightInd w:val="0"/>
        <w:snapToGrid w:val="0"/>
        <w:spacing w:before="120" w:after="0"/>
        <w:ind w:left="0" w:firstLine="567"/>
        <w:jc w:val="both"/>
        <w:rPr>
          <w:rFonts w:asciiTheme="majorHAnsi" w:hAnsiTheme="majorHAnsi" w:cstheme="majorHAnsi"/>
          <w:i/>
          <w:szCs w:val="28"/>
          <w:lang w:val="nl-NL"/>
        </w:rPr>
      </w:pPr>
      <w:bookmarkStart w:id="0" w:name="_Hlk517885434"/>
      <w:r w:rsidRPr="0043515C">
        <w:rPr>
          <w:rFonts w:asciiTheme="majorHAnsi" w:hAnsiTheme="majorHAnsi" w:cstheme="majorHAnsi"/>
          <w:i/>
          <w:szCs w:val="28"/>
          <w:lang w:val="nl-NL"/>
        </w:rPr>
        <w:t>Hệ thống quy chế nội bộ (QCNB) được rà soát, sửa đổi theo hướng tinh gọn, tăng phân cấp phân quyền và ứng dụng chuyển đổi số.</w:t>
      </w:r>
    </w:p>
    <w:p w14:paraId="5D544C92" w14:textId="32330B7C" w:rsidR="00A420EF" w:rsidRPr="0043515C" w:rsidRDefault="00A420EF" w:rsidP="00675A6A">
      <w:pPr>
        <w:widowControl w:val="0"/>
        <w:tabs>
          <w:tab w:val="left" w:pos="851"/>
        </w:tabs>
        <w:adjustRightInd w:val="0"/>
        <w:snapToGrid w:val="0"/>
        <w:spacing w:before="12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nl-NL"/>
        </w:rPr>
        <w:t xml:space="preserve">Trong năm 2025, EVN đã </w:t>
      </w:r>
      <w:r w:rsidRPr="0043515C">
        <w:rPr>
          <w:rFonts w:asciiTheme="majorHAnsi" w:hAnsiTheme="majorHAnsi" w:cstheme="majorHAnsi"/>
          <w:sz w:val="28"/>
          <w:szCs w:val="28"/>
          <w:lang w:val="nl-NL"/>
        </w:rPr>
        <w:t>s</w:t>
      </w:r>
      <w:r w:rsidRPr="0043515C">
        <w:rPr>
          <w:rFonts w:asciiTheme="majorHAnsi" w:hAnsiTheme="majorHAnsi" w:cstheme="majorHAnsi"/>
          <w:sz w:val="28"/>
          <w:szCs w:val="28"/>
          <w:lang w:val="vi-VN"/>
        </w:rPr>
        <w:t>ửa đổi, ban hành Quy định đào tạo phát triển nguồn nhân lực kèm theo Quyết định số 720/QĐ-EVN ngày 01/6/2025</w:t>
      </w:r>
      <w:r w:rsidRPr="0043515C">
        <w:rPr>
          <w:rFonts w:asciiTheme="majorHAnsi" w:hAnsiTheme="majorHAnsi" w:cstheme="majorHAnsi"/>
          <w:sz w:val="28"/>
          <w:szCs w:val="28"/>
          <w:lang w:val="nl-NL"/>
        </w:rPr>
        <w:t xml:space="preserve"> trong đó gộp 05 quy định vào 01</w:t>
      </w:r>
      <w:r w:rsidR="00F810FD" w:rsidRPr="0043515C">
        <w:rPr>
          <w:rFonts w:asciiTheme="majorHAnsi" w:hAnsiTheme="majorHAnsi" w:cstheme="majorHAnsi"/>
          <w:sz w:val="28"/>
          <w:szCs w:val="28"/>
          <w:lang w:val="nl-NL"/>
        </w:rPr>
        <w:t xml:space="preserve">. </w:t>
      </w:r>
      <w:r w:rsidRPr="0043515C">
        <w:rPr>
          <w:rFonts w:asciiTheme="majorHAnsi" w:hAnsiTheme="majorHAnsi" w:cstheme="majorHAnsi"/>
          <w:sz w:val="28"/>
          <w:szCs w:val="28"/>
          <w:lang w:val="vi-VN"/>
        </w:rPr>
        <w:t>Quy định 720 thể hiện bước chuyển quan trọng trong tư duy quản lý công tác đào tạo của EVN theo hướng</w:t>
      </w:r>
      <w:r w:rsidRPr="0043515C">
        <w:rPr>
          <w:rFonts w:asciiTheme="majorHAnsi" w:hAnsiTheme="majorHAnsi" w:cstheme="majorHAnsi"/>
          <w:sz w:val="28"/>
          <w:szCs w:val="28"/>
          <w:lang w:val="nl-NL"/>
        </w:rPr>
        <w:t xml:space="preserve">: </w:t>
      </w:r>
    </w:p>
    <w:p w14:paraId="060A6DCF" w14:textId="77777777" w:rsidR="00A420EF" w:rsidRPr="0043515C" w:rsidRDefault="00A420EF" w:rsidP="00675A6A">
      <w:pPr>
        <w:pStyle w:val="ListParagraph"/>
        <w:widowControl w:val="0"/>
        <w:numPr>
          <w:ilvl w:val="0"/>
          <w:numId w:val="20"/>
        </w:numPr>
        <w:tabs>
          <w:tab w:val="left" w:pos="851"/>
        </w:tabs>
        <w:adjustRightInd w:val="0"/>
        <w:snapToGrid w:val="0"/>
        <w:spacing w:before="120" w:after="0"/>
        <w:ind w:left="0" w:firstLine="567"/>
        <w:jc w:val="both"/>
        <w:rPr>
          <w:rFonts w:asciiTheme="majorHAnsi" w:hAnsiTheme="majorHAnsi" w:cstheme="majorHAnsi"/>
          <w:iCs/>
          <w:szCs w:val="28"/>
          <w:lang w:val="nl-NL"/>
        </w:rPr>
      </w:pPr>
      <w:r w:rsidRPr="0043515C">
        <w:rPr>
          <w:rStyle w:val="Strong"/>
          <w:rFonts w:asciiTheme="majorHAnsi" w:hAnsiTheme="majorHAnsi" w:cstheme="majorHAnsi"/>
          <w:b w:val="0"/>
          <w:bCs w:val="0"/>
          <w:szCs w:val="28"/>
          <w:lang w:val="nl-NL"/>
        </w:rPr>
        <w:t>Tă</w:t>
      </w:r>
      <w:r w:rsidRPr="0043515C">
        <w:rPr>
          <w:rStyle w:val="Strong"/>
          <w:rFonts w:asciiTheme="majorHAnsi" w:hAnsiTheme="majorHAnsi" w:cstheme="majorHAnsi"/>
          <w:b w:val="0"/>
          <w:bCs w:val="0"/>
          <w:szCs w:val="28"/>
          <w:lang w:val="vi-VN"/>
        </w:rPr>
        <w:t>ng cường phân cấp, phân quyền cho các Tổng công ty</w:t>
      </w:r>
      <w:r w:rsidRPr="0043515C">
        <w:rPr>
          <w:rFonts w:asciiTheme="majorHAnsi" w:hAnsiTheme="majorHAnsi" w:cstheme="majorHAnsi"/>
          <w:b/>
          <w:bCs/>
          <w:szCs w:val="28"/>
          <w:lang w:val="vi-VN"/>
        </w:rPr>
        <w:t>,</w:t>
      </w:r>
      <w:r w:rsidRPr="0043515C">
        <w:rPr>
          <w:rFonts w:asciiTheme="majorHAnsi" w:hAnsiTheme="majorHAnsi" w:cstheme="majorHAnsi"/>
          <w:szCs w:val="28"/>
          <w:lang w:val="vi-VN"/>
        </w:rPr>
        <w:t xml:space="preserve"> qua đó nâng cao tính chủ động, linh hoạt trong tổ chức đào tạo, đặc biệt là đào tạo cán bộ quản lý và đào tạo theo vị trí chức danh.</w:t>
      </w:r>
      <w:r w:rsidRPr="0043515C">
        <w:rPr>
          <w:rFonts w:asciiTheme="majorHAnsi" w:hAnsiTheme="majorHAnsi" w:cstheme="majorHAnsi"/>
          <w:iCs/>
          <w:szCs w:val="28"/>
          <w:lang w:val="nl-NL"/>
        </w:rPr>
        <w:t xml:space="preserve"> Tập đoàn chỉ ban hành chương trình khung đào tạo CBQL, tổ chức đào tạo cán bộ thuộc diện EVN quản lý; quản lý chuyên gia và giảng viên nội bộ cấp EVN; ban hành chương trình khung đào tạo các vị trí chức danh điều hành, vận hành hệ thống điện quan trọng và hệ thống thông tin của EVN. </w:t>
      </w:r>
    </w:p>
    <w:p w14:paraId="59235FD6" w14:textId="77777777" w:rsidR="00A420EF" w:rsidRPr="0043515C" w:rsidRDefault="00A420EF" w:rsidP="00675A6A">
      <w:pPr>
        <w:pStyle w:val="ListParagraph"/>
        <w:widowControl w:val="0"/>
        <w:numPr>
          <w:ilvl w:val="0"/>
          <w:numId w:val="20"/>
        </w:numPr>
        <w:tabs>
          <w:tab w:val="left" w:pos="851"/>
        </w:tabs>
        <w:adjustRightInd w:val="0"/>
        <w:snapToGrid w:val="0"/>
        <w:spacing w:before="120" w:after="0"/>
        <w:ind w:left="0" w:firstLine="567"/>
        <w:jc w:val="both"/>
        <w:rPr>
          <w:rFonts w:asciiTheme="majorHAnsi" w:hAnsiTheme="majorHAnsi" w:cstheme="majorHAnsi"/>
          <w:iCs/>
          <w:szCs w:val="28"/>
          <w:lang w:val="nl-NL"/>
        </w:rPr>
      </w:pPr>
      <w:r w:rsidRPr="0043515C">
        <w:rPr>
          <w:rFonts w:asciiTheme="majorHAnsi" w:hAnsiTheme="majorHAnsi" w:cstheme="majorHAnsi"/>
          <w:iCs/>
          <w:szCs w:val="28"/>
          <w:lang w:val="nl-NL"/>
        </w:rPr>
        <w:t>Quy định 720 ngắn gọn hơn (chỉ còn 28 trang), lược bỏ các quy định đã có tại các văn bản của nhà nước, quy định khác trong EVN và các nội dung hướng dẫn quy trình, do quy trình đã được ban hành riêng và tích hợp vào HRMS 3.0.</w:t>
      </w:r>
    </w:p>
    <w:p w14:paraId="20EB940B" w14:textId="3EBEF486" w:rsidR="00A420EF" w:rsidRPr="0043515C" w:rsidRDefault="00F810FD" w:rsidP="00675A6A">
      <w:pPr>
        <w:pStyle w:val="ListParagraph"/>
        <w:widowControl w:val="0"/>
        <w:numPr>
          <w:ilvl w:val="0"/>
          <w:numId w:val="47"/>
        </w:numPr>
        <w:tabs>
          <w:tab w:val="left" w:pos="851"/>
          <w:tab w:val="center" w:pos="4535"/>
        </w:tabs>
        <w:adjustRightInd w:val="0"/>
        <w:snapToGrid w:val="0"/>
        <w:spacing w:before="120" w:after="0"/>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 xml:space="preserve"> Thường xuyên cập nhật kiến thức quản trị hiện đại cho </w:t>
      </w:r>
      <w:r w:rsidR="00A420EF" w:rsidRPr="0043515C">
        <w:rPr>
          <w:rFonts w:asciiTheme="majorHAnsi" w:hAnsiTheme="majorHAnsi" w:cstheme="majorHAnsi"/>
          <w:i/>
          <w:szCs w:val="28"/>
          <w:lang w:val="nl-NL"/>
        </w:rPr>
        <w:t>đội ngũ quản lý các cấp trong toàn Tập đoàn</w:t>
      </w:r>
    </w:p>
    <w:p w14:paraId="0E2442B0" w14:textId="77777777" w:rsidR="009C2EC3" w:rsidRPr="0043515C" w:rsidRDefault="009C2EC3" w:rsidP="00675A6A">
      <w:pPr>
        <w:widowControl w:val="0"/>
        <w:tabs>
          <w:tab w:val="left" w:pos="851"/>
        </w:tabs>
        <w:spacing w:before="120" w:line="276"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lastRenderedPageBreak/>
        <w:t xml:space="preserve">Năm 2021, EVN đã ban hành Khung chương trình đào tạo CBQL các cấp, sửa đổi theo chương trình khung đào tạo quản trị doanh nghiệp hiện đại, phù hợp xu thế phát triển chung và trong giai đoạn thế giới có nhiều biến động. EVN đặc biệt chú trọng nâng cao chất lượng đội ngũ giảng viên khi mời được nhiều giảng viên trong và ngoài nước là những chuyên gia, diễn giả có trình độ cao, kinh nghiệm thực tiễn phong phú và ở vị trí đồng cấp với các CBQL cấp 1, 2, 3 của EVN trực tiếp tham gia chia sẻ, trao đổi. Các đối tác đào tạo được lựa chọn trên cơ sở các tiêu chí khắt khe hơn, bảo đảm uy tín, năng lực chuyên môn và khả năng cập nhật các phương pháp quản trị hiện đại. Bên cạnh đó, EVN thường xuyên theo dõi, giám sát chặt chẽ chất lượng đào tạo tại các trường Cao đẳng Điện lực thuộc các Tổng công ty, nhằm bảo đảm nội dung và chương trình đào tạo theo kịp xu hướng phát triển mới trong các lĩnh vực quản trị, kỹ thuật và chuyển đổi số. </w:t>
      </w:r>
    </w:p>
    <w:p w14:paraId="4C180C17" w14:textId="61709B63" w:rsidR="00A420EF" w:rsidRPr="0043515C" w:rsidRDefault="001B2BE6" w:rsidP="00675A6A">
      <w:pPr>
        <w:widowControl w:val="0"/>
        <w:tabs>
          <w:tab w:val="left" w:pos="851"/>
        </w:tabs>
        <w:spacing w:before="120" w:line="276" w:lineRule="auto"/>
        <w:ind w:firstLine="567"/>
        <w:jc w:val="both"/>
        <w:rPr>
          <w:rFonts w:asciiTheme="majorHAnsi" w:hAnsiTheme="majorHAnsi" w:cstheme="majorHAnsi"/>
          <w:sz w:val="28"/>
          <w:szCs w:val="28"/>
          <w:lang w:val="nl-NL"/>
        </w:rPr>
      </w:pPr>
      <w:r w:rsidRPr="0043515C">
        <w:rPr>
          <w:rFonts w:asciiTheme="majorHAnsi" w:hAnsiTheme="majorHAnsi" w:cstheme="majorHAnsi"/>
          <w:iCs/>
          <w:sz w:val="28"/>
          <w:szCs w:val="28"/>
          <w:lang w:val="nl-NL"/>
        </w:rPr>
        <w:t>Trong giai đoạn này,</w:t>
      </w:r>
      <w:r w:rsidR="009C2EC3" w:rsidRPr="0043515C">
        <w:rPr>
          <w:rFonts w:asciiTheme="majorHAnsi" w:hAnsiTheme="majorHAnsi" w:cstheme="majorHAnsi"/>
          <w:iCs/>
          <w:sz w:val="28"/>
          <w:szCs w:val="28"/>
          <w:lang w:val="nl-NL"/>
        </w:rPr>
        <w:t xml:space="preserve"> hàng năm EVN đã tổ chức các hội thảo chuyên đề hoặc đào tạo chủ yếu cho CBQL quy hoạch cấp 1</w:t>
      </w:r>
      <w:r w:rsidR="009C2EC3" w:rsidRPr="0043515C">
        <w:rPr>
          <w:rStyle w:val="FootnoteReference"/>
          <w:rFonts w:asciiTheme="majorHAnsi" w:hAnsiTheme="majorHAnsi" w:cstheme="majorHAnsi"/>
          <w:iCs/>
          <w:sz w:val="28"/>
          <w:szCs w:val="28"/>
          <w:lang w:val="nl-NL"/>
        </w:rPr>
        <w:footnoteReference w:id="1"/>
      </w:r>
      <w:r w:rsidR="009C2EC3" w:rsidRPr="0043515C">
        <w:rPr>
          <w:rFonts w:asciiTheme="majorHAnsi" w:hAnsiTheme="majorHAnsi" w:cstheme="majorHAnsi"/>
          <w:iCs/>
          <w:sz w:val="28"/>
          <w:szCs w:val="28"/>
          <w:lang w:val="nl-NL"/>
        </w:rPr>
        <w:t>;</w:t>
      </w:r>
      <w:r w:rsidRPr="0043515C">
        <w:rPr>
          <w:rFonts w:asciiTheme="majorHAnsi" w:hAnsiTheme="majorHAnsi" w:cstheme="majorHAnsi"/>
          <w:iCs/>
          <w:sz w:val="28"/>
          <w:szCs w:val="28"/>
          <w:lang w:val="nl-NL"/>
        </w:rPr>
        <w:t xml:space="preserve"> tổ chức </w:t>
      </w:r>
      <w:r w:rsidRPr="0043515C">
        <w:rPr>
          <w:rFonts w:asciiTheme="majorHAnsi" w:hAnsiTheme="majorHAnsi" w:cstheme="majorHAnsi"/>
          <w:sz w:val="28"/>
          <w:szCs w:val="28"/>
          <w:lang w:val="nl-NL"/>
        </w:rPr>
        <w:t xml:space="preserve">06 lớp CBQL cấp 2 cho 89 lượt người và 14 lớp CBQL cấp 3 cho 405 lượt người. </w:t>
      </w:r>
      <w:r w:rsidR="00A420EF" w:rsidRPr="0043515C">
        <w:rPr>
          <w:rFonts w:asciiTheme="majorHAnsi" w:hAnsiTheme="majorHAnsi" w:cstheme="majorHAnsi"/>
          <w:sz w:val="28"/>
          <w:szCs w:val="28"/>
          <w:lang w:val="nl-NL"/>
        </w:rPr>
        <w:t xml:space="preserve">Các Tổng công ty đã tổ chức đào tạo 7.351 lượt CBQL các cấp của Tổng công ty. </w:t>
      </w:r>
    </w:p>
    <w:bookmarkEnd w:id="0"/>
    <w:p w14:paraId="5284509A" w14:textId="2DE8D55E" w:rsidR="00A420EF" w:rsidRPr="0043515C" w:rsidRDefault="009C2EC3" w:rsidP="00675A6A">
      <w:pPr>
        <w:pStyle w:val="ListParagraph"/>
        <w:widowControl w:val="0"/>
        <w:numPr>
          <w:ilvl w:val="0"/>
          <w:numId w:val="47"/>
        </w:numPr>
        <w:tabs>
          <w:tab w:val="left" w:pos="851"/>
          <w:tab w:val="center" w:pos="4535"/>
        </w:tabs>
        <w:adjustRightInd w:val="0"/>
        <w:snapToGrid w:val="0"/>
        <w:spacing w:before="120" w:after="0"/>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 xml:space="preserve">Liên tục đào tạo và </w:t>
      </w:r>
      <w:r w:rsidR="00A420EF" w:rsidRPr="0043515C">
        <w:rPr>
          <w:rFonts w:asciiTheme="majorHAnsi" w:hAnsiTheme="majorHAnsi" w:cstheme="majorHAnsi"/>
          <w:i/>
          <w:szCs w:val="28"/>
          <w:lang w:val="nl-NL"/>
        </w:rPr>
        <w:t>phát triển</w:t>
      </w:r>
      <w:r w:rsidRPr="0043515C">
        <w:rPr>
          <w:rFonts w:asciiTheme="majorHAnsi" w:hAnsiTheme="majorHAnsi" w:cstheme="majorHAnsi"/>
          <w:i/>
          <w:szCs w:val="28"/>
          <w:lang w:val="nl-NL"/>
        </w:rPr>
        <w:t xml:space="preserve"> </w:t>
      </w:r>
      <w:r w:rsidR="00732F54" w:rsidRPr="0043515C">
        <w:rPr>
          <w:rFonts w:asciiTheme="majorHAnsi" w:hAnsiTheme="majorHAnsi" w:cstheme="majorHAnsi"/>
          <w:i/>
          <w:szCs w:val="28"/>
          <w:lang w:val="nl-NL"/>
        </w:rPr>
        <w:t xml:space="preserve">nhân lực chất lượng cao, xây dựng </w:t>
      </w:r>
      <w:r w:rsidRPr="0043515C">
        <w:rPr>
          <w:rFonts w:asciiTheme="majorHAnsi" w:hAnsiTheme="majorHAnsi" w:cstheme="majorHAnsi"/>
          <w:i/>
          <w:szCs w:val="28"/>
          <w:lang w:val="nl-NL"/>
        </w:rPr>
        <w:t>các nhóm</w:t>
      </w:r>
      <w:r w:rsidR="00A420EF" w:rsidRPr="0043515C">
        <w:rPr>
          <w:rFonts w:asciiTheme="majorHAnsi" w:hAnsiTheme="majorHAnsi" w:cstheme="majorHAnsi"/>
          <w:i/>
          <w:szCs w:val="28"/>
          <w:lang w:val="nl-NL"/>
        </w:rPr>
        <w:t xml:space="preserve"> chuyên gia </w:t>
      </w:r>
      <w:r w:rsidRPr="0043515C">
        <w:rPr>
          <w:rFonts w:asciiTheme="majorHAnsi" w:hAnsiTheme="majorHAnsi" w:cstheme="majorHAnsi"/>
          <w:i/>
          <w:szCs w:val="28"/>
          <w:lang w:val="nl-NL"/>
        </w:rPr>
        <w:t>trong EVN và các đơn vị</w:t>
      </w:r>
      <w:r w:rsidR="00A420EF" w:rsidRPr="0043515C">
        <w:rPr>
          <w:rFonts w:asciiTheme="majorHAnsi" w:hAnsiTheme="majorHAnsi" w:cstheme="majorHAnsi"/>
          <w:i/>
          <w:szCs w:val="28"/>
          <w:lang w:val="nl-NL"/>
        </w:rPr>
        <w:t>.</w:t>
      </w:r>
    </w:p>
    <w:p w14:paraId="388E1EE3" w14:textId="55996966" w:rsidR="004D2FA7" w:rsidRPr="0043515C" w:rsidRDefault="004D2FA7" w:rsidP="00675A6A">
      <w:pPr>
        <w:tabs>
          <w:tab w:val="left" w:pos="851"/>
        </w:tabs>
        <w:spacing w:before="12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nl-NL"/>
        </w:rPr>
        <w:t>Việc xây dựng các thế hệ nhân sự chất lượng cao, có kiến thức và kỹ năng chuyên sâu, hướng đến đạt các chuẩn mực quốc tế đã được EVN quan tâm từ nhiều năm trước</w:t>
      </w:r>
      <w:r w:rsidR="00321565" w:rsidRPr="0043515C">
        <w:rPr>
          <w:rFonts w:asciiTheme="majorHAnsi" w:hAnsiTheme="majorHAnsi" w:cstheme="majorHAnsi"/>
          <w:iCs/>
          <w:sz w:val="28"/>
          <w:szCs w:val="28"/>
          <w:lang w:val="nl-NL"/>
        </w:rPr>
        <w:t>, đảm bảo tính bền vững thông qua việc xây dựng hệ thống kế thừa liên tục giữa các thế hệ.</w:t>
      </w:r>
    </w:p>
    <w:p w14:paraId="37D10DA6" w14:textId="3151D5BA" w:rsidR="00EE2529" w:rsidRPr="0043515C" w:rsidRDefault="004D2FA7" w:rsidP="00675A6A">
      <w:pPr>
        <w:tabs>
          <w:tab w:val="left" w:pos="851"/>
        </w:tabs>
        <w:spacing w:before="12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nl-NL"/>
        </w:rPr>
        <w:t xml:space="preserve">- </w:t>
      </w:r>
      <w:r w:rsidR="00732F54" w:rsidRPr="0043515C">
        <w:rPr>
          <w:rFonts w:asciiTheme="majorHAnsi" w:hAnsiTheme="majorHAnsi" w:cstheme="majorHAnsi"/>
          <w:iCs/>
          <w:sz w:val="28"/>
          <w:szCs w:val="28"/>
          <w:lang w:val="nl-NL"/>
        </w:rPr>
        <w:t xml:space="preserve">Giai đoạn 2001-2015, </w:t>
      </w:r>
      <w:r w:rsidR="00EE2529" w:rsidRPr="0043515C">
        <w:rPr>
          <w:rFonts w:asciiTheme="majorHAnsi" w:hAnsiTheme="majorHAnsi" w:cstheme="majorHAnsi"/>
          <w:iCs/>
          <w:sz w:val="28"/>
          <w:szCs w:val="28"/>
          <w:lang w:val="nl-NL"/>
        </w:rPr>
        <w:t>EVN đã cử</w:t>
      </w:r>
      <w:r w:rsidR="00732F54" w:rsidRPr="0043515C">
        <w:rPr>
          <w:rFonts w:asciiTheme="majorHAnsi" w:hAnsiTheme="majorHAnsi" w:cstheme="majorHAnsi"/>
          <w:iCs/>
          <w:sz w:val="28"/>
          <w:szCs w:val="28"/>
          <w:lang w:val="nl-NL"/>
        </w:rPr>
        <w:t xml:space="preserve"> </w:t>
      </w:r>
      <w:r w:rsidR="00EE2529" w:rsidRPr="0043515C">
        <w:rPr>
          <w:rFonts w:asciiTheme="majorHAnsi" w:hAnsiTheme="majorHAnsi" w:cstheme="majorHAnsi"/>
          <w:iCs/>
          <w:sz w:val="28"/>
          <w:szCs w:val="28"/>
          <w:lang w:val="nl-NL"/>
        </w:rPr>
        <w:t>65 kỹ sư tài năng (KSTN) đi đào tạo các chuyên ngành về kỹ thuật điện, điện - điện tử, điện hạt nhân</w:t>
      </w:r>
      <w:r w:rsidR="00732F54" w:rsidRPr="0043515C">
        <w:rPr>
          <w:rFonts w:asciiTheme="majorHAnsi" w:hAnsiTheme="majorHAnsi" w:cstheme="majorHAnsi"/>
          <w:iCs/>
          <w:sz w:val="28"/>
          <w:szCs w:val="28"/>
          <w:lang w:val="nl-NL"/>
        </w:rPr>
        <w:t xml:space="preserve"> tại các nước phát triển trên thế giới</w:t>
      </w:r>
      <w:r w:rsidR="00EE2529" w:rsidRPr="0043515C">
        <w:rPr>
          <w:rFonts w:asciiTheme="majorHAnsi" w:hAnsiTheme="majorHAnsi" w:cstheme="majorHAnsi"/>
          <w:iCs/>
          <w:sz w:val="28"/>
          <w:szCs w:val="28"/>
          <w:lang w:val="nl-NL"/>
        </w:rPr>
        <w:t xml:space="preserve"> và ký cam kết với 248 sinh viên điện hạt nhân do Bộ GD&amp;ĐT chọn cử đi học tại Nga. Đến nay</w:t>
      </w:r>
      <w:r w:rsidR="00732F54" w:rsidRPr="0043515C">
        <w:rPr>
          <w:rFonts w:asciiTheme="majorHAnsi" w:hAnsiTheme="majorHAnsi" w:cstheme="majorHAnsi"/>
          <w:iCs/>
          <w:sz w:val="28"/>
          <w:szCs w:val="28"/>
          <w:lang w:val="nl-NL"/>
        </w:rPr>
        <w:t>, các KSTN đã bắt đầu nắm giữ các vị trí quản lý, chuyên gia quan trọng tại EVN và các đơn vị</w:t>
      </w:r>
      <w:r w:rsidR="00732F54" w:rsidRPr="0043515C">
        <w:rPr>
          <w:rStyle w:val="FootnoteReference"/>
          <w:rFonts w:asciiTheme="majorHAnsi" w:hAnsiTheme="majorHAnsi" w:cstheme="majorHAnsi"/>
          <w:iCs/>
          <w:sz w:val="28"/>
          <w:szCs w:val="28"/>
          <w:lang w:val="nl-NL"/>
        </w:rPr>
        <w:footnoteReference w:id="2"/>
      </w:r>
      <w:r w:rsidR="00732F54" w:rsidRPr="0043515C">
        <w:rPr>
          <w:rFonts w:asciiTheme="majorHAnsi" w:hAnsiTheme="majorHAnsi" w:cstheme="majorHAnsi"/>
          <w:iCs/>
          <w:sz w:val="28"/>
          <w:szCs w:val="28"/>
          <w:lang w:val="nl-NL"/>
        </w:rPr>
        <w:t xml:space="preserve">. </w:t>
      </w:r>
    </w:p>
    <w:p w14:paraId="6C58F88B" w14:textId="35D0A89D" w:rsidR="00EE2529" w:rsidRPr="0043515C" w:rsidRDefault="004D2FA7" w:rsidP="00675A6A">
      <w:pPr>
        <w:tabs>
          <w:tab w:val="left" w:pos="851"/>
        </w:tabs>
        <w:spacing w:before="12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xml:space="preserve">- </w:t>
      </w:r>
      <w:r w:rsidR="00F2405C" w:rsidRPr="0043515C">
        <w:rPr>
          <w:rFonts w:asciiTheme="majorHAnsi" w:hAnsiTheme="majorHAnsi" w:cstheme="majorHAnsi"/>
          <w:iCs/>
          <w:sz w:val="28"/>
          <w:szCs w:val="28"/>
          <w:lang w:val="de-DE"/>
        </w:rPr>
        <w:t xml:space="preserve">Giai đoạn 2021-2025 số lượng CBCNV EVN </w:t>
      </w:r>
      <w:r w:rsidR="00EE2529" w:rsidRPr="0043515C">
        <w:rPr>
          <w:rFonts w:asciiTheme="majorHAnsi" w:hAnsiTheme="majorHAnsi" w:cstheme="majorHAnsi"/>
          <w:iCs/>
          <w:sz w:val="28"/>
          <w:szCs w:val="28"/>
          <w:lang w:val="de-DE"/>
        </w:rPr>
        <w:t xml:space="preserve">cử </w:t>
      </w:r>
      <w:r w:rsidR="00F2405C" w:rsidRPr="0043515C">
        <w:rPr>
          <w:rFonts w:asciiTheme="majorHAnsi" w:hAnsiTheme="majorHAnsi" w:cstheme="majorHAnsi"/>
          <w:iCs/>
          <w:sz w:val="28"/>
          <w:szCs w:val="28"/>
          <w:lang w:val="de-DE"/>
        </w:rPr>
        <w:t xml:space="preserve"> </w:t>
      </w:r>
      <w:r w:rsidR="00EE2529" w:rsidRPr="0043515C">
        <w:rPr>
          <w:rFonts w:asciiTheme="majorHAnsi" w:hAnsiTheme="majorHAnsi" w:cstheme="majorHAnsi"/>
          <w:iCs/>
          <w:sz w:val="28"/>
          <w:szCs w:val="28"/>
          <w:lang w:val="de-DE"/>
        </w:rPr>
        <w:t>đi học sau đại học tại nước ngoài</w:t>
      </w:r>
      <w:r w:rsidR="00F2405C" w:rsidRPr="0043515C">
        <w:rPr>
          <w:rFonts w:asciiTheme="majorHAnsi" w:hAnsiTheme="majorHAnsi" w:cstheme="majorHAnsi"/>
          <w:iCs/>
          <w:sz w:val="28"/>
          <w:szCs w:val="28"/>
          <w:lang w:val="de-DE"/>
        </w:rPr>
        <w:t xml:space="preserve"> rất ít, chỉ có 07 người, trong đó 03 người học kỹ thuật</w:t>
      </w:r>
      <w:r w:rsidR="00EE2529" w:rsidRPr="0043515C">
        <w:rPr>
          <w:rFonts w:asciiTheme="majorHAnsi" w:hAnsiTheme="majorHAnsi" w:cstheme="majorHAnsi"/>
          <w:iCs/>
          <w:sz w:val="28"/>
          <w:szCs w:val="28"/>
          <w:lang w:val="de-DE"/>
        </w:rPr>
        <w:t xml:space="preserve">. </w:t>
      </w:r>
      <w:r w:rsidR="008F09C4" w:rsidRPr="0043515C">
        <w:rPr>
          <w:rFonts w:asciiTheme="majorHAnsi" w:hAnsiTheme="majorHAnsi" w:cstheme="majorHAnsi"/>
          <w:iCs/>
          <w:sz w:val="28"/>
          <w:szCs w:val="28"/>
          <w:lang w:val="de-DE"/>
        </w:rPr>
        <w:t>N</w:t>
      </w:r>
      <w:r w:rsidR="00F2405C" w:rsidRPr="0043515C">
        <w:rPr>
          <w:rFonts w:asciiTheme="majorHAnsi" w:hAnsiTheme="majorHAnsi" w:cstheme="majorHAnsi"/>
          <w:iCs/>
          <w:sz w:val="28"/>
          <w:szCs w:val="28"/>
          <w:lang w:val="de-DE"/>
        </w:rPr>
        <w:t xml:space="preserve">hóm </w:t>
      </w:r>
      <w:r w:rsidR="00732F54" w:rsidRPr="0043515C">
        <w:rPr>
          <w:rFonts w:asciiTheme="majorHAnsi" w:hAnsiTheme="majorHAnsi" w:cstheme="majorHAnsi"/>
          <w:iCs/>
          <w:sz w:val="28"/>
          <w:szCs w:val="28"/>
          <w:lang w:val="de-DE"/>
        </w:rPr>
        <w:t>cán bộ</w:t>
      </w:r>
      <w:r w:rsidR="00F2405C" w:rsidRPr="0043515C">
        <w:rPr>
          <w:rFonts w:asciiTheme="majorHAnsi" w:hAnsiTheme="majorHAnsi" w:cstheme="majorHAnsi"/>
          <w:iCs/>
          <w:sz w:val="28"/>
          <w:szCs w:val="28"/>
          <w:lang w:val="de-DE"/>
        </w:rPr>
        <w:t xml:space="preserve"> được cử đi học sau đại học nước ngoài những giai đoạn trước hiện nay đang nắm giữ</w:t>
      </w:r>
      <w:r w:rsidR="00EE2529" w:rsidRPr="0043515C">
        <w:rPr>
          <w:rFonts w:asciiTheme="majorHAnsi" w:hAnsiTheme="majorHAnsi" w:cstheme="majorHAnsi"/>
          <w:iCs/>
          <w:sz w:val="28"/>
          <w:szCs w:val="28"/>
          <w:lang w:val="de-DE"/>
        </w:rPr>
        <w:t xml:space="preserve"> </w:t>
      </w:r>
      <w:r w:rsidR="008F09C4" w:rsidRPr="0043515C">
        <w:rPr>
          <w:rFonts w:asciiTheme="majorHAnsi" w:hAnsiTheme="majorHAnsi" w:cstheme="majorHAnsi"/>
          <w:iCs/>
          <w:sz w:val="28"/>
          <w:szCs w:val="28"/>
          <w:lang w:val="de-DE"/>
        </w:rPr>
        <w:t>nhiều</w:t>
      </w:r>
      <w:r w:rsidR="00EE2529" w:rsidRPr="0043515C">
        <w:rPr>
          <w:rFonts w:asciiTheme="majorHAnsi" w:hAnsiTheme="majorHAnsi" w:cstheme="majorHAnsi"/>
          <w:iCs/>
          <w:sz w:val="28"/>
          <w:szCs w:val="28"/>
          <w:lang w:val="de-DE"/>
        </w:rPr>
        <w:t xml:space="preserve"> vị trí lãnh đạo</w:t>
      </w:r>
      <w:r w:rsidR="00732F54" w:rsidRPr="0043515C">
        <w:rPr>
          <w:rFonts w:asciiTheme="majorHAnsi" w:hAnsiTheme="majorHAnsi" w:cstheme="majorHAnsi"/>
          <w:iCs/>
          <w:sz w:val="28"/>
          <w:szCs w:val="28"/>
          <w:lang w:val="de-DE"/>
        </w:rPr>
        <w:t xml:space="preserve"> </w:t>
      </w:r>
      <w:r w:rsidR="00F2405C" w:rsidRPr="0043515C">
        <w:rPr>
          <w:rFonts w:asciiTheme="majorHAnsi" w:hAnsiTheme="majorHAnsi" w:cstheme="majorHAnsi"/>
          <w:iCs/>
          <w:sz w:val="28"/>
          <w:szCs w:val="28"/>
          <w:lang w:val="de-DE"/>
        </w:rPr>
        <w:t>quan trọng</w:t>
      </w:r>
      <w:r w:rsidR="002E262E" w:rsidRPr="0043515C">
        <w:rPr>
          <w:rStyle w:val="FootnoteReference"/>
          <w:rFonts w:asciiTheme="majorHAnsi" w:hAnsiTheme="majorHAnsi" w:cstheme="majorHAnsi"/>
          <w:iCs/>
          <w:sz w:val="28"/>
          <w:szCs w:val="28"/>
          <w:lang w:val="de-DE"/>
        </w:rPr>
        <w:footnoteReference w:id="3"/>
      </w:r>
      <w:r w:rsidR="00EE2529" w:rsidRPr="0043515C">
        <w:rPr>
          <w:rFonts w:asciiTheme="majorHAnsi" w:hAnsiTheme="majorHAnsi" w:cstheme="majorHAnsi"/>
          <w:iCs/>
          <w:sz w:val="28"/>
          <w:szCs w:val="28"/>
          <w:lang w:val="de-DE"/>
        </w:rPr>
        <w:t>.</w:t>
      </w:r>
    </w:p>
    <w:p w14:paraId="1343F70E" w14:textId="77777777" w:rsidR="00321565" w:rsidRPr="0043515C" w:rsidRDefault="004D2FA7"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lastRenderedPageBreak/>
        <w:t xml:space="preserve">- </w:t>
      </w:r>
      <w:r w:rsidR="00EE2529" w:rsidRPr="0043515C">
        <w:rPr>
          <w:rFonts w:asciiTheme="majorHAnsi" w:hAnsiTheme="majorHAnsi" w:cstheme="majorHAnsi"/>
          <w:iCs/>
          <w:sz w:val="28"/>
          <w:szCs w:val="28"/>
          <w:lang w:val="de-DE"/>
        </w:rPr>
        <w:t xml:space="preserve">Thực hiện Đề án đào tạo chuyên gia của EVN từ năm 2018, </w:t>
      </w:r>
      <w:r w:rsidRPr="0043515C">
        <w:rPr>
          <w:rFonts w:asciiTheme="majorHAnsi" w:hAnsiTheme="majorHAnsi" w:cstheme="majorHAnsi"/>
          <w:iCs/>
          <w:sz w:val="28"/>
          <w:szCs w:val="28"/>
          <w:lang w:val="de-DE"/>
        </w:rPr>
        <w:t>trong giai đoạn 2021-2025, EVN tiếp tục các chương trình đào tạo cho hơn 350 ứng viên chuyên gia trong 5 lĩnh vực chủ chốt</w:t>
      </w:r>
      <w:r w:rsidRPr="0043515C">
        <w:rPr>
          <w:rStyle w:val="FootnoteReference"/>
          <w:rFonts w:asciiTheme="majorHAnsi" w:hAnsiTheme="majorHAnsi" w:cstheme="majorHAnsi"/>
          <w:iCs/>
          <w:sz w:val="28"/>
          <w:szCs w:val="28"/>
          <w:lang w:val="de-DE"/>
        </w:rPr>
        <w:footnoteReference w:id="4"/>
      </w:r>
      <w:r w:rsidRPr="0043515C">
        <w:rPr>
          <w:rFonts w:asciiTheme="majorHAnsi" w:hAnsiTheme="majorHAnsi" w:cstheme="majorHAnsi"/>
          <w:iCs/>
          <w:sz w:val="28"/>
          <w:szCs w:val="28"/>
          <w:lang w:val="de-DE"/>
        </w:rPr>
        <w:t xml:space="preserve"> gồm Tự động hóa, Nhiệt điện, Thí nghiệm điện, Tư vấn xây dựng điện và Quản lý dự án. </w:t>
      </w:r>
      <w:r w:rsidR="00321565" w:rsidRPr="0043515C">
        <w:rPr>
          <w:rFonts w:asciiTheme="majorHAnsi" w:hAnsiTheme="majorHAnsi" w:cstheme="majorHAnsi"/>
          <w:iCs/>
          <w:sz w:val="28"/>
          <w:szCs w:val="28"/>
          <w:lang w:val="de-DE"/>
        </w:rPr>
        <w:t>Các chương trình đào tạo được tổ chức liên tục theo các cấp độ:</w:t>
      </w:r>
    </w:p>
    <w:p w14:paraId="4952AD6B" w14:textId="12023403" w:rsidR="00321565" w:rsidRPr="0043515C" w:rsidRDefault="00321565"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Củng cố hệ thống kiến thức nền tảng và lý thuyết nâng cao mời các giáo sư, tiến sỹ từ các trường đại học, viện nghiên cứu hàng đầu tại Việt Nam;</w:t>
      </w:r>
    </w:p>
    <w:p w14:paraId="7435FCA1" w14:textId="612E2B4A" w:rsidR="00321565" w:rsidRPr="0043515C" w:rsidRDefault="00321565"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Trao đổi, học tập kinh nghiệm giữa các nhóm chuyên gia với nhau;</w:t>
      </w:r>
    </w:p>
    <w:p w14:paraId="602E0978" w14:textId="7DDF8A3C" w:rsidR="00321565" w:rsidRPr="0043515C" w:rsidRDefault="00321565" w:rsidP="00675A6A">
      <w:pPr>
        <w:tabs>
          <w:tab w:val="left" w:pos="851"/>
        </w:tabs>
        <w:spacing w:before="100" w:line="276" w:lineRule="auto"/>
        <w:ind w:firstLine="567"/>
        <w:jc w:val="both"/>
        <w:rPr>
          <w:rFonts w:asciiTheme="majorHAnsi" w:hAnsiTheme="majorHAnsi" w:cstheme="majorHAnsi"/>
          <w:iCs/>
          <w:sz w:val="28"/>
          <w:szCs w:val="28"/>
          <w:lang w:val="de-DE"/>
        </w:rPr>
      </w:pPr>
      <w:r w:rsidRPr="0043515C">
        <w:rPr>
          <w:rFonts w:asciiTheme="majorHAnsi" w:hAnsiTheme="majorHAnsi" w:cstheme="majorHAnsi"/>
          <w:iCs/>
          <w:sz w:val="28"/>
          <w:szCs w:val="28"/>
          <w:lang w:val="de-DE"/>
        </w:rPr>
        <w:t>+ Học tập, tham gia các chương trình hội thảo, hội nghị, trao đổi chuyên gia tại nước ngoài</w:t>
      </w:r>
      <w:r w:rsidR="00A7065B" w:rsidRPr="0043515C">
        <w:rPr>
          <w:rStyle w:val="FootnoteReference"/>
          <w:rFonts w:asciiTheme="majorHAnsi" w:hAnsiTheme="majorHAnsi" w:cstheme="majorHAnsi"/>
          <w:iCs/>
          <w:sz w:val="28"/>
          <w:szCs w:val="28"/>
          <w:lang w:val="de-DE"/>
        </w:rPr>
        <w:footnoteReference w:id="5"/>
      </w:r>
      <w:r w:rsidRPr="0043515C">
        <w:rPr>
          <w:rFonts w:asciiTheme="majorHAnsi" w:hAnsiTheme="majorHAnsi" w:cstheme="majorHAnsi"/>
          <w:iCs/>
          <w:sz w:val="28"/>
          <w:szCs w:val="28"/>
          <w:lang w:val="de-DE"/>
        </w:rPr>
        <w:t>, yêu cầu có bài trình bày và báo cáo sau đào tạo của các ứng viên chuyên gia được cử tham gia.</w:t>
      </w:r>
    </w:p>
    <w:p w14:paraId="44A2E35C" w14:textId="05A4793C" w:rsidR="00EE2529" w:rsidRPr="0043515C" w:rsidRDefault="00EE2529" w:rsidP="00675A6A">
      <w:pPr>
        <w:tabs>
          <w:tab w:val="left" w:pos="851"/>
        </w:tabs>
        <w:spacing w:before="100" w:line="276" w:lineRule="auto"/>
        <w:ind w:firstLine="567"/>
        <w:jc w:val="both"/>
        <w:rPr>
          <w:rFonts w:asciiTheme="majorHAnsi" w:hAnsiTheme="majorHAnsi" w:cstheme="majorHAnsi"/>
          <w:iCs/>
          <w:sz w:val="28"/>
          <w:szCs w:val="28"/>
          <w:lang w:val="nl-NL"/>
        </w:rPr>
      </w:pPr>
      <w:r w:rsidRPr="0043515C">
        <w:rPr>
          <w:rFonts w:asciiTheme="majorHAnsi" w:hAnsiTheme="majorHAnsi" w:cstheme="majorHAnsi"/>
          <w:iCs/>
          <w:sz w:val="28"/>
          <w:szCs w:val="28"/>
          <w:lang w:val="de-DE"/>
        </w:rPr>
        <w:t>EVN đã b</w:t>
      </w:r>
      <w:r w:rsidRPr="0043515C">
        <w:rPr>
          <w:rFonts w:asciiTheme="majorHAnsi" w:hAnsiTheme="majorHAnsi" w:cstheme="majorHAnsi"/>
          <w:iCs/>
          <w:sz w:val="28"/>
          <w:szCs w:val="28"/>
          <w:lang w:val="nl-NL"/>
        </w:rPr>
        <w:t xml:space="preserve">an hành Quy định công nhận chức danh và quản lý chuyên gia kèm theo Quyết định số 1462/QĐ-EVN ngày 28/11/2018, xây dựng mức lương chuyên gia cấp Tập đoàn tương đương chuyên viên cao cấp tại Quyết định số 234/QĐ-EVN ngày 24/8/2018. </w:t>
      </w:r>
    </w:p>
    <w:p w14:paraId="4C3DE288" w14:textId="3B4BB6DD" w:rsidR="00810094" w:rsidRPr="00367071" w:rsidRDefault="00810094" w:rsidP="00675A6A">
      <w:pPr>
        <w:tabs>
          <w:tab w:val="left" w:pos="851"/>
        </w:tabs>
        <w:spacing w:before="100" w:line="276"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Các ứng viên chuyên gia tại các đơn vị là lực lượng chính tham gia vào các chương trình đào tạo chuyên gia cấp EVN, cấp Tổng công ty và </w:t>
      </w:r>
      <w:r w:rsidR="00552987" w:rsidRPr="00367071">
        <w:rPr>
          <w:rFonts w:asciiTheme="majorHAnsi" w:hAnsiTheme="majorHAnsi" w:cstheme="majorHAnsi"/>
          <w:sz w:val="28"/>
          <w:szCs w:val="28"/>
          <w:lang w:val="nl-NL"/>
        </w:rPr>
        <w:t>biên soạn, góp ý các văn bản quy phạm pháp luật, quy định, quy trình trong EVN, đơn vị và hệ thống tiêu chuẩn kỹ thuật.</w:t>
      </w:r>
    </w:p>
    <w:p w14:paraId="27486B20" w14:textId="77777777" w:rsidR="00A7065B" w:rsidRPr="0043515C" w:rsidRDefault="00A7065B" w:rsidP="00675A6A">
      <w:pPr>
        <w:pStyle w:val="ListParagraph"/>
        <w:widowControl w:val="0"/>
        <w:numPr>
          <w:ilvl w:val="0"/>
          <w:numId w:val="47"/>
        </w:numPr>
        <w:tabs>
          <w:tab w:val="left" w:pos="851"/>
          <w:tab w:val="center" w:pos="4535"/>
        </w:tabs>
        <w:adjustRightInd w:val="0"/>
        <w:snapToGrid w:val="0"/>
        <w:spacing w:before="100" w:after="0"/>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Đội ngũ lao động trực tiếp tại các đơn vị được đào tạo thường xuyên, liên tục, ứng dụng mạnh mẽ hệ thống E-learning.</w:t>
      </w:r>
    </w:p>
    <w:p w14:paraId="497D450C" w14:textId="62D504AE" w:rsidR="00357412" w:rsidRDefault="00A7065B" w:rsidP="00675A6A">
      <w:pPr>
        <w:widowControl w:val="0"/>
        <w:tabs>
          <w:tab w:val="left" w:pos="851"/>
          <w:tab w:val="center" w:pos="4535"/>
        </w:tabs>
        <w:adjustRightInd w:val="0"/>
        <w:snapToGrid w:val="0"/>
        <w:spacing w:before="100" w:line="276" w:lineRule="auto"/>
        <w:ind w:firstLine="567"/>
        <w:jc w:val="both"/>
        <w:rPr>
          <w:sz w:val="28"/>
          <w:szCs w:val="28"/>
          <w:lang w:val="nl-NL"/>
        </w:rPr>
      </w:pPr>
      <w:r w:rsidRPr="0043515C">
        <w:rPr>
          <w:rFonts w:asciiTheme="majorHAnsi" w:hAnsiTheme="majorHAnsi" w:cstheme="majorHAnsi"/>
          <w:sz w:val="28"/>
          <w:szCs w:val="28"/>
          <w:lang w:val="nl-NL"/>
        </w:rPr>
        <w:t>Lực lượng lao động trực tiếp chiếm tỷ trọng lớn nhất trong tổng số CBCNV và là lực lượng chính góp phần tạo ra hiệu quả sản xuất, kinh doanh. Trong giai đoạn vừa qua, các đơn vị đã triệt để sử dụng hệ thống E-learning để tổ chức các cuộc thi l</w:t>
      </w:r>
      <w:r w:rsidR="00ED0247">
        <w:rPr>
          <w:rFonts w:asciiTheme="majorHAnsi" w:hAnsiTheme="majorHAnsi" w:cstheme="majorHAnsi"/>
          <w:sz w:val="28"/>
          <w:szCs w:val="28"/>
          <w:lang w:val="nl-NL"/>
        </w:rPr>
        <w:t>ý</w:t>
      </w:r>
      <w:r w:rsidRPr="0043515C">
        <w:rPr>
          <w:rFonts w:asciiTheme="majorHAnsi" w:hAnsiTheme="majorHAnsi" w:cstheme="majorHAnsi"/>
          <w:sz w:val="28"/>
          <w:szCs w:val="28"/>
          <w:lang w:val="nl-NL"/>
        </w:rPr>
        <w:t xml:space="preserve"> thuyết TNB, TGB, KTSHN, ATĐ, ATVSLĐ... đảm bảo 100% CNV</w:t>
      </w:r>
      <w:r w:rsidRPr="005C7A66">
        <w:rPr>
          <w:sz w:val="28"/>
          <w:szCs w:val="28"/>
          <w:lang w:val="nl-NL"/>
        </w:rPr>
        <w:t xml:space="preserve"> trực tiếp sản xuất được sát hạch, đào tạo, bồi dưỡng thường xuyên, đủ năng lực hoàn thành nhiệm vụ được giao. </w:t>
      </w:r>
      <w:r>
        <w:rPr>
          <w:sz w:val="28"/>
          <w:szCs w:val="28"/>
          <w:lang w:val="nl-NL"/>
        </w:rPr>
        <w:t>Do đó, trong giai đoạn Covid-19, các hoạt động đào tạo thường xuyên, phổ biến quy trình nghiệp vụ mới không bị gián đoạn. Hệ thống E-learning cho phép người học truy cập và học hỏi mọi lúc mọi nơi, không giới hạn số lần học. Điển hình là quá trình phổ biến về nhận thức chuyển đổi số, an toàn thông tin, quy trình kinh doanh mới, cách sử dụng các phần mềm dùng chung trong quá trình chuyển đổi số... đã được triển khai trên toàn EVN trong khoảng thời gian ngắn, được lặp lại nhiều lần với chi phí gần như bằng 0.</w:t>
      </w:r>
    </w:p>
    <w:p w14:paraId="47AA21F0" w14:textId="1CACF8DD" w:rsidR="00357412" w:rsidRPr="005C7A66" w:rsidRDefault="008000A6" w:rsidP="00357412">
      <w:pPr>
        <w:widowControl w:val="0"/>
        <w:tabs>
          <w:tab w:val="left" w:pos="851"/>
          <w:tab w:val="center" w:pos="4535"/>
        </w:tabs>
        <w:adjustRightInd w:val="0"/>
        <w:snapToGrid w:val="0"/>
        <w:spacing w:before="120" w:after="120" w:line="252" w:lineRule="auto"/>
        <w:ind w:firstLine="567"/>
        <w:jc w:val="both"/>
        <w:rPr>
          <w:sz w:val="28"/>
          <w:szCs w:val="28"/>
          <w:lang w:val="nl-NL"/>
        </w:rPr>
      </w:pPr>
      <w:r w:rsidRPr="008000A6">
        <w:rPr>
          <w:b/>
          <w:bCs/>
          <w:sz w:val="28"/>
          <w:szCs w:val="28"/>
          <w:lang w:val="nl-NL"/>
        </w:rPr>
        <w:lastRenderedPageBreak/>
        <w:t xml:space="preserve">Bảng 4. </w:t>
      </w:r>
      <w:r w:rsidR="00A7065B" w:rsidRPr="005C7A66">
        <w:rPr>
          <w:sz w:val="28"/>
          <w:szCs w:val="28"/>
          <w:lang w:val="nl-NL"/>
        </w:rPr>
        <w:t>Số lượt đào tạo thường xuyên</w:t>
      </w:r>
      <w:r>
        <w:rPr>
          <w:sz w:val="28"/>
          <w:szCs w:val="28"/>
          <w:lang w:val="nl-NL"/>
        </w:rPr>
        <w:t xml:space="preserve"> (trực tiếp)</w:t>
      </w:r>
      <w:r w:rsidR="00A7065B" w:rsidRPr="005C7A66">
        <w:rPr>
          <w:sz w:val="28"/>
          <w:szCs w:val="28"/>
          <w:lang w:val="nl-NL"/>
        </w:rPr>
        <w:t xml:space="preserve"> trong Tập đoàn giai đoạn 2021-2025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62"/>
        <w:gridCol w:w="1536"/>
        <w:gridCol w:w="1654"/>
        <w:gridCol w:w="1501"/>
        <w:gridCol w:w="1792"/>
      </w:tblGrid>
      <w:tr w:rsidR="0032187D" w14:paraId="1C1C07A6" w14:textId="77777777" w:rsidTr="00ED0247">
        <w:trPr>
          <w:trHeight w:val="1260"/>
        </w:trPr>
        <w:tc>
          <w:tcPr>
            <w:tcW w:w="428" w:type="pct"/>
            <w:vMerge w:val="restart"/>
            <w:vAlign w:val="center"/>
            <w:hideMark/>
          </w:tcPr>
          <w:p w14:paraId="76E4FE5F" w14:textId="77777777" w:rsidR="0032187D" w:rsidRDefault="0032187D" w:rsidP="00675A6A">
            <w:pPr>
              <w:spacing w:before="80" w:after="80"/>
              <w:jc w:val="center"/>
              <w:rPr>
                <w:b/>
                <w:bCs/>
                <w:color w:val="000000"/>
                <w:sz w:val="28"/>
                <w:szCs w:val="28"/>
              </w:rPr>
            </w:pPr>
            <w:r>
              <w:rPr>
                <w:b/>
                <w:bCs/>
                <w:color w:val="000000"/>
                <w:sz w:val="28"/>
                <w:szCs w:val="28"/>
                <w:lang w:val="nl-NL"/>
              </w:rPr>
              <w:t>Năm</w:t>
            </w:r>
          </w:p>
        </w:tc>
        <w:tc>
          <w:tcPr>
            <w:tcW w:w="1103" w:type="pct"/>
            <w:vMerge w:val="restart"/>
            <w:vAlign w:val="center"/>
            <w:hideMark/>
          </w:tcPr>
          <w:p w14:paraId="49FF7F31" w14:textId="77777777" w:rsidR="0032187D" w:rsidRDefault="0032187D" w:rsidP="00675A6A">
            <w:pPr>
              <w:spacing w:before="80" w:after="80"/>
              <w:jc w:val="center"/>
              <w:rPr>
                <w:b/>
                <w:bCs/>
                <w:color w:val="000000"/>
                <w:sz w:val="28"/>
                <w:szCs w:val="28"/>
              </w:rPr>
            </w:pPr>
            <w:r>
              <w:rPr>
                <w:b/>
                <w:bCs/>
                <w:color w:val="000000"/>
                <w:sz w:val="28"/>
                <w:szCs w:val="28"/>
              </w:rPr>
              <w:t>Số CNV trực tiếp sản xuất</w:t>
            </w:r>
          </w:p>
        </w:tc>
        <w:tc>
          <w:tcPr>
            <w:tcW w:w="1707" w:type="pct"/>
            <w:gridSpan w:val="2"/>
            <w:vAlign w:val="center"/>
            <w:hideMark/>
          </w:tcPr>
          <w:p w14:paraId="69BF5E3A" w14:textId="77777777" w:rsidR="0032187D" w:rsidRDefault="0032187D" w:rsidP="00675A6A">
            <w:pPr>
              <w:spacing w:before="80" w:after="80"/>
              <w:jc w:val="center"/>
              <w:rPr>
                <w:b/>
                <w:bCs/>
                <w:color w:val="000000"/>
                <w:sz w:val="28"/>
                <w:szCs w:val="28"/>
              </w:rPr>
            </w:pPr>
            <w:r>
              <w:rPr>
                <w:b/>
                <w:bCs/>
                <w:color w:val="000000"/>
                <w:sz w:val="28"/>
                <w:szCs w:val="28"/>
                <w:lang w:val="nl-NL"/>
              </w:rPr>
              <w:t xml:space="preserve">Bồi dưỡng nghề </w:t>
            </w:r>
            <w:r>
              <w:rPr>
                <w:b/>
                <w:bCs/>
                <w:color w:val="000000"/>
                <w:sz w:val="28"/>
                <w:szCs w:val="28"/>
                <w:lang w:val="nl-NL"/>
              </w:rPr>
              <w:br/>
              <w:t>(TNB, TGB, KTSHN)</w:t>
            </w:r>
          </w:p>
        </w:tc>
        <w:tc>
          <w:tcPr>
            <w:tcW w:w="1762" w:type="pct"/>
            <w:gridSpan w:val="2"/>
            <w:vAlign w:val="center"/>
            <w:hideMark/>
          </w:tcPr>
          <w:p w14:paraId="6D8ED8B2" w14:textId="77777777" w:rsidR="0032187D" w:rsidRDefault="0032187D" w:rsidP="00675A6A">
            <w:pPr>
              <w:spacing w:before="80" w:after="80"/>
              <w:jc w:val="center"/>
              <w:rPr>
                <w:b/>
                <w:bCs/>
                <w:color w:val="000000"/>
                <w:sz w:val="28"/>
                <w:szCs w:val="28"/>
              </w:rPr>
            </w:pPr>
            <w:r>
              <w:rPr>
                <w:b/>
                <w:bCs/>
                <w:color w:val="000000"/>
                <w:sz w:val="28"/>
                <w:szCs w:val="28"/>
                <w:lang w:val="nl-NL"/>
              </w:rPr>
              <w:t>Khác</w:t>
            </w:r>
            <w:r>
              <w:rPr>
                <w:b/>
                <w:bCs/>
                <w:color w:val="000000"/>
                <w:sz w:val="28"/>
                <w:szCs w:val="28"/>
                <w:lang w:val="nl-NL"/>
              </w:rPr>
              <w:br/>
              <w:t>(ATVSLĐ, ATĐ, PCCC...)</w:t>
            </w:r>
          </w:p>
        </w:tc>
      </w:tr>
      <w:tr w:rsidR="0032187D" w14:paraId="75D305C2" w14:textId="77777777" w:rsidTr="00ED0247">
        <w:trPr>
          <w:trHeight w:val="765"/>
        </w:trPr>
        <w:tc>
          <w:tcPr>
            <w:tcW w:w="428" w:type="pct"/>
            <w:vMerge/>
            <w:vAlign w:val="center"/>
            <w:hideMark/>
          </w:tcPr>
          <w:p w14:paraId="7A5E1CD4" w14:textId="77777777" w:rsidR="0032187D" w:rsidRDefault="0032187D" w:rsidP="00675A6A">
            <w:pPr>
              <w:spacing w:before="80" w:after="80"/>
              <w:rPr>
                <w:b/>
                <w:bCs/>
                <w:color w:val="000000"/>
                <w:sz w:val="28"/>
                <w:szCs w:val="28"/>
              </w:rPr>
            </w:pPr>
          </w:p>
        </w:tc>
        <w:tc>
          <w:tcPr>
            <w:tcW w:w="1103" w:type="pct"/>
            <w:vMerge/>
            <w:vAlign w:val="center"/>
            <w:hideMark/>
          </w:tcPr>
          <w:p w14:paraId="0784F3B2" w14:textId="77777777" w:rsidR="0032187D" w:rsidRDefault="0032187D" w:rsidP="00675A6A">
            <w:pPr>
              <w:spacing w:before="80" w:after="80"/>
              <w:rPr>
                <w:b/>
                <w:bCs/>
                <w:color w:val="000000"/>
                <w:sz w:val="28"/>
                <w:szCs w:val="28"/>
              </w:rPr>
            </w:pPr>
          </w:p>
        </w:tc>
        <w:tc>
          <w:tcPr>
            <w:tcW w:w="822" w:type="pct"/>
            <w:vAlign w:val="center"/>
            <w:hideMark/>
          </w:tcPr>
          <w:p w14:paraId="12859EC0" w14:textId="77777777" w:rsidR="0032187D" w:rsidRDefault="0032187D" w:rsidP="00675A6A">
            <w:pPr>
              <w:spacing w:before="80" w:after="80"/>
              <w:jc w:val="center"/>
              <w:rPr>
                <w:b/>
                <w:bCs/>
                <w:color w:val="000000"/>
                <w:sz w:val="28"/>
                <w:szCs w:val="28"/>
              </w:rPr>
            </w:pPr>
            <w:r>
              <w:rPr>
                <w:b/>
                <w:bCs/>
                <w:color w:val="000000"/>
                <w:sz w:val="28"/>
                <w:szCs w:val="28"/>
                <w:lang w:val="nl-NL"/>
              </w:rPr>
              <w:t>Số lượt</w:t>
            </w:r>
          </w:p>
        </w:tc>
        <w:tc>
          <w:tcPr>
            <w:tcW w:w="885" w:type="pct"/>
            <w:vAlign w:val="center"/>
            <w:hideMark/>
          </w:tcPr>
          <w:p w14:paraId="2B27F03C" w14:textId="77777777" w:rsidR="0032187D" w:rsidRDefault="0032187D" w:rsidP="00675A6A">
            <w:pPr>
              <w:spacing w:before="80" w:after="80"/>
              <w:jc w:val="center"/>
              <w:rPr>
                <w:b/>
                <w:bCs/>
                <w:color w:val="000000"/>
                <w:sz w:val="28"/>
                <w:szCs w:val="28"/>
              </w:rPr>
            </w:pPr>
            <w:r>
              <w:rPr>
                <w:b/>
                <w:bCs/>
                <w:color w:val="000000"/>
                <w:sz w:val="28"/>
                <w:szCs w:val="28"/>
                <w:lang w:val="nl-NL"/>
              </w:rPr>
              <w:t>Trung bình</w:t>
            </w:r>
            <w:r>
              <w:rPr>
                <w:b/>
                <w:bCs/>
                <w:color w:val="000000"/>
                <w:sz w:val="28"/>
                <w:szCs w:val="28"/>
                <w:lang w:val="nl-NL"/>
              </w:rPr>
              <w:br/>
            </w:r>
            <w:r>
              <w:rPr>
                <w:i/>
                <w:iCs/>
                <w:color w:val="000000"/>
                <w:sz w:val="28"/>
                <w:szCs w:val="28"/>
                <w:lang w:val="nl-NL"/>
              </w:rPr>
              <w:t>(lượt/người)</w:t>
            </w:r>
          </w:p>
        </w:tc>
        <w:tc>
          <w:tcPr>
            <w:tcW w:w="803" w:type="pct"/>
            <w:vAlign w:val="center"/>
            <w:hideMark/>
          </w:tcPr>
          <w:p w14:paraId="36380863" w14:textId="77777777" w:rsidR="0032187D" w:rsidRDefault="0032187D" w:rsidP="00675A6A">
            <w:pPr>
              <w:spacing w:before="80" w:after="80"/>
              <w:jc w:val="center"/>
              <w:rPr>
                <w:b/>
                <w:bCs/>
                <w:color w:val="000000"/>
                <w:sz w:val="28"/>
                <w:szCs w:val="28"/>
              </w:rPr>
            </w:pPr>
            <w:r>
              <w:rPr>
                <w:b/>
                <w:bCs/>
                <w:color w:val="000000"/>
                <w:sz w:val="28"/>
                <w:szCs w:val="28"/>
                <w:lang w:val="nl-NL"/>
              </w:rPr>
              <w:t>Số lượt</w:t>
            </w:r>
          </w:p>
        </w:tc>
        <w:tc>
          <w:tcPr>
            <w:tcW w:w="959" w:type="pct"/>
            <w:vAlign w:val="center"/>
            <w:hideMark/>
          </w:tcPr>
          <w:p w14:paraId="1EA68899" w14:textId="77777777" w:rsidR="0032187D" w:rsidRDefault="0032187D" w:rsidP="00675A6A">
            <w:pPr>
              <w:spacing w:before="80" w:after="80"/>
              <w:jc w:val="center"/>
              <w:rPr>
                <w:b/>
                <w:bCs/>
                <w:color w:val="000000"/>
                <w:sz w:val="28"/>
                <w:szCs w:val="28"/>
              </w:rPr>
            </w:pPr>
            <w:r>
              <w:rPr>
                <w:b/>
                <w:bCs/>
                <w:color w:val="000000"/>
                <w:sz w:val="28"/>
                <w:szCs w:val="28"/>
                <w:lang w:val="nl-NL"/>
              </w:rPr>
              <w:t>Trung bình</w:t>
            </w:r>
            <w:r>
              <w:rPr>
                <w:b/>
                <w:bCs/>
                <w:color w:val="000000"/>
                <w:sz w:val="28"/>
                <w:szCs w:val="28"/>
                <w:lang w:val="nl-NL"/>
              </w:rPr>
              <w:br/>
            </w:r>
            <w:r>
              <w:rPr>
                <w:b/>
                <w:bCs/>
                <w:i/>
                <w:iCs/>
                <w:color w:val="000000"/>
                <w:sz w:val="28"/>
                <w:szCs w:val="28"/>
                <w:lang w:val="nl-NL"/>
              </w:rPr>
              <w:t>(lượt/người)</w:t>
            </w:r>
          </w:p>
        </w:tc>
      </w:tr>
      <w:tr w:rsidR="0032187D" w14:paraId="3CA659E8" w14:textId="77777777" w:rsidTr="00ED0247">
        <w:trPr>
          <w:trHeight w:val="375"/>
        </w:trPr>
        <w:tc>
          <w:tcPr>
            <w:tcW w:w="428" w:type="pct"/>
            <w:vAlign w:val="center"/>
            <w:hideMark/>
          </w:tcPr>
          <w:p w14:paraId="3B90DBD0" w14:textId="77777777" w:rsidR="0032187D" w:rsidRDefault="0032187D" w:rsidP="00675A6A">
            <w:pPr>
              <w:spacing w:before="80" w:after="80"/>
              <w:jc w:val="center"/>
              <w:rPr>
                <w:color w:val="000000"/>
                <w:sz w:val="28"/>
                <w:szCs w:val="28"/>
              </w:rPr>
            </w:pPr>
            <w:r>
              <w:rPr>
                <w:color w:val="000000"/>
                <w:sz w:val="28"/>
                <w:szCs w:val="28"/>
                <w:lang w:val="nl-NL"/>
              </w:rPr>
              <w:t>2021</w:t>
            </w:r>
          </w:p>
        </w:tc>
        <w:tc>
          <w:tcPr>
            <w:tcW w:w="1103" w:type="pct"/>
            <w:vAlign w:val="center"/>
            <w:hideMark/>
          </w:tcPr>
          <w:p w14:paraId="3F4D899D" w14:textId="77777777" w:rsidR="0032187D" w:rsidRDefault="0032187D" w:rsidP="00675A6A">
            <w:pPr>
              <w:spacing w:before="80" w:after="80"/>
              <w:jc w:val="center"/>
              <w:rPr>
                <w:color w:val="000000"/>
                <w:sz w:val="28"/>
                <w:szCs w:val="28"/>
              </w:rPr>
            </w:pPr>
            <w:r>
              <w:rPr>
                <w:color w:val="000000"/>
                <w:sz w:val="28"/>
                <w:szCs w:val="28"/>
              </w:rPr>
              <w:t>51.999</w:t>
            </w:r>
          </w:p>
        </w:tc>
        <w:tc>
          <w:tcPr>
            <w:tcW w:w="822" w:type="pct"/>
            <w:vAlign w:val="center"/>
            <w:hideMark/>
          </w:tcPr>
          <w:p w14:paraId="1CA517B7" w14:textId="77777777" w:rsidR="0032187D" w:rsidRDefault="0032187D" w:rsidP="00675A6A">
            <w:pPr>
              <w:spacing w:before="80" w:after="80"/>
              <w:jc w:val="center"/>
              <w:rPr>
                <w:color w:val="000000"/>
                <w:sz w:val="28"/>
                <w:szCs w:val="28"/>
              </w:rPr>
            </w:pPr>
            <w:r>
              <w:rPr>
                <w:color w:val="000000"/>
                <w:sz w:val="28"/>
                <w:szCs w:val="28"/>
                <w:lang w:val="nl-NL"/>
              </w:rPr>
              <w:t>74.055</w:t>
            </w:r>
          </w:p>
        </w:tc>
        <w:tc>
          <w:tcPr>
            <w:tcW w:w="885" w:type="pct"/>
            <w:vAlign w:val="center"/>
            <w:hideMark/>
          </w:tcPr>
          <w:p w14:paraId="048B8C7E" w14:textId="77777777" w:rsidR="0032187D" w:rsidRDefault="0032187D" w:rsidP="00675A6A">
            <w:pPr>
              <w:spacing w:before="80" w:after="80"/>
              <w:jc w:val="center"/>
              <w:rPr>
                <w:color w:val="000000"/>
                <w:sz w:val="28"/>
                <w:szCs w:val="28"/>
              </w:rPr>
            </w:pPr>
            <w:r>
              <w:rPr>
                <w:color w:val="000000"/>
                <w:sz w:val="28"/>
                <w:szCs w:val="28"/>
              </w:rPr>
              <w:t>1,42</w:t>
            </w:r>
          </w:p>
        </w:tc>
        <w:tc>
          <w:tcPr>
            <w:tcW w:w="803" w:type="pct"/>
            <w:vAlign w:val="center"/>
            <w:hideMark/>
          </w:tcPr>
          <w:p w14:paraId="78997C69" w14:textId="77777777" w:rsidR="0032187D" w:rsidRDefault="0032187D" w:rsidP="00675A6A">
            <w:pPr>
              <w:spacing w:before="80" w:after="80"/>
              <w:jc w:val="center"/>
              <w:rPr>
                <w:color w:val="000000"/>
                <w:sz w:val="28"/>
                <w:szCs w:val="28"/>
              </w:rPr>
            </w:pPr>
            <w:r>
              <w:rPr>
                <w:color w:val="000000"/>
                <w:sz w:val="28"/>
                <w:szCs w:val="28"/>
                <w:lang w:val="nl-NL"/>
              </w:rPr>
              <w:t>139.662</w:t>
            </w:r>
          </w:p>
        </w:tc>
        <w:tc>
          <w:tcPr>
            <w:tcW w:w="959" w:type="pct"/>
            <w:vAlign w:val="center"/>
            <w:hideMark/>
          </w:tcPr>
          <w:p w14:paraId="3346C2A7" w14:textId="77777777" w:rsidR="0032187D" w:rsidRDefault="0032187D" w:rsidP="00675A6A">
            <w:pPr>
              <w:spacing w:before="80" w:after="80"/>
              <w:jc w:val="center"/>
              <w:rPr>
                <w:color w:val="000000"/>
                <w:sz w:val="28"/>
                <w:szCs w:val="28"/>
              </w:rPr>
            </w:pPr>
            <w:r>
              <w:rPr>
                <w:color w:val="000000"/>
                <w:sz w:val="28"/>
                <w:szCs w:val="28"/>
              </w:rPr>
              <w:t>2,69</w:t>
            </w:r>
          </w:p>
        </w:tc>
      </w:tr>
      <w:tr w:rsidR="0032187D" w14:paraId="640650C2" w14:textId="77777777" w:rsidTr="00ED0247">
        <w:trPr>
          <w:trHeight w:val="375"/>
        </w:trPr>
        <w:tc>
          <w:tcPr>
            <w:tcW w:w="428" w:type="pct"/>
            <w:vAlign w:val="center"/>
            <w:hideMark/>
          </w:tcPr>
          <w:p w14:paraId="54D3FFEF" w14:textId="77777777" w:rsidR="0032187D" w:rsidRDefault="0032187D" w:rsidP="00675A6A">
            <w:pPr>
              <w:spacing w:before="80" w:after="80"/>
              <w:jc w:val="center"/>
              <w:rPr>
                <w:color w:val="000000"/>
                <w:sz w:val="28"/>
                <w:szCs w:val="28"/>
              </w:rPr>
            </w:pPr>
            <w:r>
              <w:rPr>
                <w:color w:val="000000"/>
                <w:sz w:val="28"/>
                <w:szCs w:val="28"/>
                <w:lang w:val="nl-NL"/>
              </w:rPr>
              <w:t>2022</w:t>
            </w:r>
          </w:p>
        </w:tc>
        <w:tc>
          <w:tcPr>
            <w:tcW w:w="1103" w:type="pct"/>
            <w:vAlign w:val="center"/>
            <w:hideMark/>
          </w:tcPr>
          <w:p w14:paraId="640E47D1" w14:textId="77777777" w:rsidR="0032187D" w:rsidRDefault="0032187D" w:rsidP="00675A6A">
            <w:pPr>
              <w:spacing w:before="80" w:after="80"/>
              <w:jc w:val="center"/>
              <w:rPr>
                <w:color w:val="000000"/>
                <w:sz w:val="28"/>
                <w:szCs w:val="28"/>
              </w:rPr>
            </w:pPr>
            <w:r>
              <w:rPr>
                <w:color w:val="000000"/>
                <w:sz w:val="28"/>
                <w:szCs w:val="28"/>
              </w:rPr>
              <w:t>51.673</w:t>
            </w:r>
          </w:p>
        </w:tc>
        <w:tc>
          <w:tcPr>
            <w:tcW w:w="822" w:type="pct"/>
            <w:vAlign w:val="center"/>
            <w:hideMark/>
          </w:tcPr>
          <w:p w14:paraId="12E60E85" w14:textId="77777777" w:rsidR="0032187D" w:rsidRDefault="0032187D" w:rsidP="00675A6A">
            <w:pPr>
              <w:spacing w:before="80" w:after="80"/>
              <w:jc w:val="center"/>
              <w:rPr>
                <w:color w:val="000000"/>
                <w:sz w:val="28"/>
                <w:szCs w:val="28"/>
              </w:rPr>
            </w:pPr>
            <w:r>
              <w:rPr>
                <w:color w:val="000000"/>
                <w:sz w:val="28"/>
                <w:szCs w:val="28"/>
                <w:lang w:val="nl-NL"/>
              </w:rPr>
              <w:t>80.467</w:t>
            </w:r>
          </w:p>
        </w:tc>
        <w:tc>
          <w:tcPr>
            <w:tcW w:w="885" w:type="pct"/>
            <w:vAlign w:val="center"/>
            <w:hideMark/>
          </w:tcPr>
          <w:p w14:paraId="1EC7C5E2" w14:textId="77777777" w:rsidR="0032187D" w:rsidRDefault="0032187D" w:rsidP="00675A6A">
            <w:pPr>
              <w:spacing w:before="80" w:after="80"/>
              <w:jc w:val="center"/>
              <w:rPr>
                <w:color w:val="000000"/>
                <w:sz w:val="28"/>
                <w:szCs w:val="28"/>
              </w:rPr>
            </w:pPr>
            <w:r>
              <w:rPr>
                <w:color w:val="000000"/>
                <w:sz w:val="28"/>
                <w:szCs w:val="28"/>
              </w:rPr>
              <w:t>1,56</w:t>
            </w:r>
          </w:p>
        </w:tc>
        <w:tc>
          <w:tcPr>
            <w:tcW w:w="803" w:type="pct"/>
            <w:vAlign w:val="center"/>
            <w:hideMark/>
          </w:tcPr>
          <w:p w14:paraId="70FF201A" w14:textId="77777777" w:rsidR="0032187D" w:rsidRDefault="0032187D" w:rsidP="00675A6A">
            <w:pPr>
              <w:spacing w:before="80" w:after="80"/>
              <w:jc w:val="center"/>
              <w:rPr>
                <w:color w:val="000000"/>
                <w:sz w:val="28"/>
                <w:szCs w:val="28"/>
              </w:rPr>
            </w:pPr>
            <w:r>
              <w:rPr>
                <w:color w:val="000000"/>
                <w:sz w:val="28"/>
                <w:szCs w:val="28"/>
                <w:lang w:val="nl-NL"/>
              </w:rPr>
              <w:t>167.964</w:t>
            </w:r>
          </w:p>
        </w:tc>
        <w:tc>
          <w:tcPr>
            <w:tcW w:w="959" w:type="pct"/>
            <w:vAlign w:val="center"/>
            <w:hideMark/>
          </w:tcPr>
          <w:p w14:paraId="067F7DB6" w14:textId="77777777" w:rsidR="0032187D" w:rsidRDefault="0032187D" w:rsidP="00675A6A">
            <w:pPr>
              <w:spacing w:before="80" w:after="80"/>
              <w:jc w:val="center"/>
              <w:rPr>
                <w:color w:val="000000"/>
                <w:sz w:val="28"/>
                <w:szCs w:val="28"/>
              </w:rPr>
            </w:pPr>
            <w:r>
              <w:rPr>
                <w:color w:val="000000"/>
                <w:sz w:val="28"/>
                <w:szCs w:val="28"/>
              </w:rPr>
              <w:t>3,25</w:t>
            </w:r>
          </w:p>
        </w:tc>
      </w:tr>
      <w:tr w:rsidR="0032187D" w14:paraId="62506840" w14:textId="77777777" w:rsidTr="00ED0247">
        <w:trPr>
          <w:trHeight w:val="375"/>
        </w:trPr>
        <w:tc>
          <w:tcPr>
            <w:tcW w:w="428" w:type="pct"/>
            <w:vAlign w:val="center"/>
            <w:hideMark/>
          </w:tcPr>
          <w:p w14:paraId="615511AB" w14:textId="77777777" w:rsidR="0032187D" w:rsidRDefault="0032187D" w:rsidP="00675A6A">
            <w:pPr>
              <w:spacing w:before="80" w:after="80"/>
              <w:jc w:val="center"/>
              <w:rPr>
                <w:color w:val="000000"/>
                <w:sz w:val="28"/>
                <w:szCs w:val="28"/>
              </w:rPr>
            </w:pPr>
            <w:r>
              <w:rPr>
                <w:color w:val="000000"/>
                <w:sz w:val="28"/>
                <w:szCs w:val="28"/>
                <w:lang w:val="nl-NL"/>
              </w:rPr>
              <w:t>2023</w:t>
            </w:r>
          </w:p>
        </w:tc>
        <w:tc>
          <w:tcPr>
            <w:tcW w:w="1103" w:type="pct"/>
            <w:vAlign w:val="center"/>
            <w:hideMark/>
          </w:tcPr>
          <w:p w14:paraId="1793BC3E" w14:textId="77777777" w:rsidR="0032187D" w:rsidRDefault="0032187D" w:rsidP="00675A6A">
            <w:pPr>
              <w:spacing w:before="80" w:after="80"/>
              <w:jc w:val="center"/>
              <w:rPr>
                <w:color w:val="000000"/>
                <w:sz w:val="28"/>
                <w:szCs w:val="28"/>
              </w:rPr>
            </w:pPr>
            <w:r>
              <w:rPr>
                <w:color w:val="000000"/>
                <w:sz w:val="28"/>
                <w:szCs w:val="28"/>
              </w:rPr>
              <w:t>51.028</w:t>
            </w:r>
          </w:p>
        </w:tc>
        <w:tc>
          <w:tcPr>
            <w:tcW w:w="822" w:type="pct"/>
            <w:vAlign w:val="center"/>
            <w:hideMark/>
          </w:tcPr>
          <w:p w14:paraId="19A95850" w14:textId="77777777" w:rsidR="0032187D" w:rsidRDefault="0032187D" w:rsidP="00675A6A">
            <w:pPr>
              <w:spacing w:before="80" w:after="80"/>
              <w:jc w:val="center"/>
              <w:rPr>
                <w:color w:val="000000"/>
                <w:sz w:val="28"/>
                <w:szCs w:val="28"/>
              </w:rPr>
            </w:pPr>
            <w:r>
              <w:rPr>
                <w:color w:val="000000"/>
                <w:sz w:val="28"/>
                <w:szCs w:val="28"/>
                <w:lang w:val="nl-NL"/>
              </w:rPr>
              <w:t>76.005</w:t>
            </w:r>
          </w:p>
        </w:tc>
        <w:tc>
          <w:tcPr>
            <w:tcW w:w="885" w:type="pct"/>
            <w:vAlign w:val="center"/>
            <w:hideMark/>
          </w:tcPr>
          <w:p w14:paraId="10ADBAF9" w14:textId="77777777" w:rsidR="0032187D" w:rsidRDefault="0032187D" w:rsidP="00675A6A">
            <w:pPr>
              <w:spacing w:before="80" w:after="80"/>
              <w:jc w:val="center"/>
              <w:rPr>
                <w:color w:val="000000"/>
                <w:sz w:val="28"/>
                <w:szCs w:val="28"/>
              </w:rPr>
            </w:pPr>
            <w:r>
              <w:rPr>
                <w:color w:val="000000"/>
                <w:sz w:val="28"/>
                <w:szCs w:val="28"/>
              </w:rPr>
              <w:t>1,49</w:t>
            </w:r>
          </w:p>
        </w:tc>
        <w:tc>
          <w:tcPr>
            <w:tcW w:w="803" w:type="pct"/>
            <w:vAlign w:val="center"/>
            <w:hideMark/>
          </w:tcPr>
          <w:p w14:paraId="73EAA7FD" w14:textId="77777777" w:rsidR="0032187D" w:rsidRDefault="0032187D" w:rsidP="00675A6A">
            <w:pPr>
              <w:spacing w:before="80" w:after="80"/>
              <w:jc w:val="center"/>
              <w:rPr>
                <w:color w:val="000000"/>
                <w:sz w:val="28"/>
                <w:szCs w:val="28"/>
              </w:rPr>
            </w:pPr>
            <w:r>
              <w:rPr>
                <w:color w:val="000000"/>
                <w:sz w:val="28"/>
                <w:szCs w:val="28"/>
                <w:lang w:val="nl-NL"/>
              </w:rPr>
              <w:t>173.391</w:t>
            </w:r>
          </w:p>
        </w:tc>
        <w:tc>
          <w:tcPr>
            <w:tcW w:w="959" w:type="pct"/>
            <w:vAlign w:val="center"/>
            <w:hideMark/>
          </w:tcPr>
          <w:p w14:paraId="0C3B8455" w14:textId="77777777" w:rsidR="0032187D" w:rsidRDefault="0032187D" w:rsidP="00675A6A">
            <w:pPr>
              <w:spacing w:before="80" w:after="80"/>
              <w:jc w:val="center"/>
              <w:rPr>
                <w:color w:val="000000"/>
                <w:sz w:val="28"/>
                <w:szCs w:val="28"/>
              </w:rPr>
            </w:pPr>
            <w:r>
              <w:rPr>
                <w:color w:val="000000"/>
                <w:sz w:val="28"/>
                <w:szCs w:val="28"/>
              </w:rPr>
              <w:t>3,4</w:t>
            </w:r>
          </w:p>
        </w:tc>
      </w:tr>
      <w:tr w:rsidR="0032187D" w14:paraId="392F9DF3" w14:textId="77777777" w:rsidTr="00ED0247">
        <w:trPr>
          <w:trHeight w:val="375"/>
        </w:trPr>
        <w:tc>
          <w:tcPr>
            <w:tcW w:w="428" w:type="pct"/>
            <w:vAlign w:val="center"/>
            <w:hideMark/>
          </w:tcPr>
          <w:p w14:paraId="41BC4201" w14:textId="77777777" w:rsidR="0032187D" w:rsidRDefault="0032187D" w:rsidP="00675A6A">
            <w:pPr>
              <w:spacing w:before="80" w:after="80"/>
              <w:jc w:val="center"/>
              <w:rPr>
                <w:color w:val="000000"/>
                <w:sz w:val="28"/>
                <w:szCs w:val="28"/>
              </w:rPr>
            </w:pPr>
            <w:r>
              <w:rPr>
                <w:color w:val="000000"/>
                <w:sz w:val="28"/>
                <w:szCs w:val="28"/>
                <w:lang w:val="nl-NL"/>
              </w:rPr>
              <w:t>2024</w:t>
            </w:r>
          </w:p>
        </w:tc>
        <w:tc>
          <w:tcPr>
            <w:tcW w:w="1103" w:type="pct"/>
            <w:vAlign w:val="center"/>
            <w:hideMark/>
          </w:tcPr>
          <w:p w14:paraId="6E3D09A3" w14:textId="77777777" w:rsidR="0032187D" w:rsidRDefault="0032187D" w:rsidP="00675A6A">
            <w:pPr>
              <w:spacing w:before="80" w:after="80"/>
              <w:jc w:val="center"/>
              <w:rPr>
                <w:color w:val="000000"/>
                <w:sz w:val="28"/>
                <w:szCs w:val="28"/>
              </w:rPr>
            </w:pPr>
            <w:r>
              <w:rPr>
                <w:color w:val="000000"/>
                <w:sz w:val="28"/>
                <w:szCs w:val="28"/>
              </w:rPr>
              <w:t>50.574</w:t>
            </w:r>
          </w:p>
        </w:tc>
        <w:tc>
          <w:tcPr>
            <w:tcW w:w="822" w:type="pct"/>
            <w:vAlign w:val="center"/>
            <w:hideMark/>
          </w:tcPr>
          <w:p w14:paraId="36A793EC" w14:textId="77777777" w:rsidR="0032187D" w:rsidRDefault="0032187D" w:rsidP="00675A6A">
            <w:pPr>
              <w:spacing w:before="80" w:after="80"/>
              <w:jc w:val="center"/>
              <w:rPr>
                <w:color w:val="000000"/>
                <w:sz w:val="28"/>
                <w:szCs w:val="28"/>
              </w:rPr>
            </w:pPr>
            <w:r>
              <w:rPr>
                <w:color w:val="000000"/>
                <w:sz w:val="28"/>
                <w:szCs w:val="28"/>
                <w:lang w:val="nl-NL"/>
              </w:rPr>
              <w:t>69.421</w:t>
            </w:r>
          </w:p>
        </w:tc>
        <w:tc>
          <w:tcPr>
            <w:tcW w:w="885" w:type="pct"/>
            <w:vAlign w:val="center"/>
            <w:hideMark/>
          </w:tcPr>
          <w:p w14:paraId="55E2992D" w14:textId="77777777" w:rsidR="0032187D" w:rsidRDefault="0032187D" w:rsidP="00675A6A">
            <w:pPr>
              <w:spacing w:before="80" w:after="80"/>
              <w:jc w:val="center"/>
              <w:rPr>
                <w:color w:val="000000"/>
                <w:sz w:val="28"/>
                <w:szCs w:val="28"/>
              </w:rPr>
            </w:pPr>
            <w:r>
              <w:rPr>
                <w:color w:val="000000"/>
                <w:sz w:val="28"/>
                <w:szCs w:val="28"/>
              </w:rPr>
              <w:t>1,37</w:t>
            </w:r>
          </w:p>
        </w:tc>
        <w:tc>
          <w:tcPr>
            <w:tcW w:w="803" w:type="pct"/>
            <w:vAlign w:val="center"/>
            <w:hideMark/>
          </w:tcPr>
          <w:p w14:paraId="711B4862" w14:textId="77777777" w:rsidR="0032187D" w:rsidRDefault="0032187D" w:rsidP="00675A6A">
            <w:pPr>
              <w:spacing w:before="80" w:after="80"/>
              <w:jc w:val="center"/>
              <w:rPr>
                <w:color w:val="000000"/>
                <w:sz w:val="28"/>
                <w:szCs w:val="28"/>
              </w:rPr>
            </w:pPr>
            <w:r>
              <w:rPr>
                <w:color w:val="000000"/>
                <w:sz w:val="28"/>
                <w:szCs w:val="28"/>
                <w:lang w:val="nl-NL"/>
              </w:rPr>
              <w:t>160.876</w:t>
            </w:r>
          </w:p>
        </w:tc>
        <w:tc>
          <w:tcPr>
            <w:tcW w:w="959" w:type="pct"/>
            <w:vAlign w:val="center"/>
            <w:hideMark/>
          </w:tcPr>
          <w:p w14:paraId="3EB4CD2A" w14:textId="77777777" w:rsidR="0032187D" w:rsidRDefault="0032187D" w:rsidP="00675A6A">
            <w:pPr>
              <w:spacing w:before="80" w:after="80"/>
              <w:jc w:val="center"/>
              <w:rPr>
                <w:color w:val="000000"/>
                <w:sz w:val="28"/>
                <w:szCs w:val="28"/>
              </w:rPr>
            </w:pPr>
            <w:r>
              <w:rPr>
                <w:color w:val="000000"/>
                <w:sz w:val="28"/>
                <w:szCs w:val="28"/>
              </w:rPr>
              <w:t>3,18</w:t>
            </w:r>
          </w:p>
        </w:tc>
      </w:tr>
      <w:tr w:rsidR="0032187D" w14:paraId="3DEFAA42" w14:textId="77777777" w:rsidTr="00ED0247">
        <w:trPr>
          <w:trHeight w:val="375"/>
        </w:trPr>
        <w:tc>
          <w:tcPr>
            <w:tcW w:w="428" w:type="pct"/>
            <w:vAlign w:val="center"/>
            <w:hideMark/>
          </w:tcPr>
          <w:p w14:paraId="72CB3702" w14:textId="77777777" w:rsidR="0032187D" w:rsidRDefault="0032187D" w:rsidP="00675A6A">
            <w:pPr>
              <w:spacing w:before="80" w:after="80"/>
              <w:jc w:val="center"/>
              <w:rPr>
                <w:color w:val="000000"/>
                <w:sz w:val="28"/>
                <w:szCs w:val="28"/>
              </w:rPr>
            </w:pPr>
            <w:r>
              <w:rPr>
                <w:color w:val="000000"/>
                <w:sz w:val="28"/>
                <w:szCs w:val="28"/>
                <w:lang w:val="nl-NL"/>
              </w:rPr>
              <w:t>2025</w:t>
            </w:r>
          </w:p>
        </w:tc>
        <w:tc>
          <w:tcPr>
            <w:tcW w:w="1103" w:type="pct"/>
            <w:vAlign w:val="center"/>
            <w:hideMark/>
          </w:tcPr>
          <w:p w14:paraId="790A4FB8" w14:textId="77777777" w:rsidR="0032187D" w:rsidRDefault="0032187D" w:rsidP="00675A6A">
            <w:pPr>
              <w:spacing w:before="80" w:after="80"/>
              <w:jc w:val="center"/>
              <w:rPr>
                <w:color w:val="000000"/>
                <w:sz w:val="28"/>
                <w:szCs w:val="28"/>
              </w:rPr>
            </w:pPr>
            <w:r>
              <w:rPr>
                <w:color w:val="000000"/>
                <w:sz w:val="28"/>
                <w:szCs w:val="28"/>
              </w:rPr>
              <w:t>50.270</w:t>
            </w:r>
          </w:p>
        </w:tc>
        <w:tc>
          <w:tcPr>
            <w:tcW w:w="822" w:type="pct"/>
            <w:vAlign w:val="center"/>
            <w:hideMark/>
          </w:tcPr>
          <w:p w14:paraId="1BA139C3" w14:textId="77777777" w:rsidR="0032187D" w:rsidRDefault="0032187D" w:rsidP="00675A6A">
            <w:pPr>
              <w:spacing w:before="80" w:after="80"/>
              <w:jc w:val="center"/>
              <w:rPr>
                <w:color w:val="000000"/>
                <w:sz w:val="28"/>
                <w:szCs w:val="28"/>
              </w:rPr>
            </w:pPr>
            <w:r>
              <w:rPr>
                <w:color w:val="000000"/>
                <w:sz w:val="28"/>
                <w:szCs w:val="28"/>
                <w:lang w:val="nl-NL"/>
              </w:rPr>
              <w:t>77.030</w:t>
            </w:r>
          </w:p>
        </w:tc>
        <w:tc>
          <w:tcPr>
            <w:tcW w:w="885" w:type="pct"/>
            <w:vAlign w:val="center"/>
            <w:hideMark/>
          </w:tcPr>
          <w:p w14:paraId="1331A152" w14:textId="77777777" w:rsidR="0032187D" w:rsidRDefault="0032187D" w:rsidP="00675A6A">
            <w:pPr>
              <w:spacing w:before="80" w:after="80"/>
              <w:jc w:val="center"/>
              <w:rPr>
                <w:color w:val="000000"/>
                <w:sz w:val="28"/>
                <w:szCs w:val="28"/>
              </w:rPr>
            </w:pPr>
            <w:r>
              <w:rPr>
                <w:color w:val="000000"/>
                <w:sz w:val="28"/>
                <w:szCs w:val="28"/>
              </w:rPr>
              <w:t>1,53</w:t>
            </w:r>
          </w:p>
        </w:tc>
        <w:tc>
          <w:tcPr>
            <w:tcW w:w="803" w:type="pct"/>
            <w:vAlign w:val="center"/>
            <w:hideMark/>
          </w:tcPr>
          <w:p w14:paraId="72067218" w14:textId="77777777" w:rsidR="0032187D" w:rsidRDefault="0032187D" w:rsidP="00675A6A">
            <w:pPr>
              <w:spacing w:before="80" w:after="80"/>
              <w:jc w:val="center"/>
              <w:rPr>
                <w:color w:val="000000"/>
                <w:sz w:val="28"/>
                <w:szCs w:val="28"/>
              </w:rPr>
            </w:pPr>
            <w:r>
              <w:rPr>
                <w:color w:val="000000"/>
                <w:sz w:val="28"/>
                <w:szCs w:val="28"/>
                <w:lang w:val="nl-NL"/>
              </w:rPr>
              <w:t>176.567</w:t>
            </w:r>
          </w:p>
        </w:tc>
        <w:tc>
          <w:tcPr>
            <w:tcW w:w="959" w:type="pct"/>
            <w:vAlign w:val="center"/>
            <w:hideMark/>
          </w:tcPr>
          <w:p w14:paraId="7C540278" w14:textId="77777777" w:rsidR="0032187D" w:rsidRDefault="0032187D" w:rsidP="00675A6A">
            <w:pPr>
              <w:spacing w:before="80" w:after="80"/>
              <w:jc w:val="center"/>
              <w:rPr>
                <w:color w:val="000000"/>
                <w:sz w:val="28"/>
                <w:szCs w:val="28"/>
              </w:rPr>
            </w:pPr>
            <w:r>
              <w:rPr>
                <w:color w:val="000000"/>
                <w:sz w:val="28"/>
                <w:szCs w:val="28"/>
              </w:rPr>
              <w:t>3,51</w:t>
            </w:r>
          </w:p>
        </w:tc>
      </w:tr>
    </w:tbl>
    <w:p w14:paraId="152780BB" w14:textId="0A79A2E8" w:rsidR="00A7065B" w:rsidRPr="0043515C" w:rsidRDefault="008000A6" w:rsidP="00367071">
      <w:pPr>
        <w:pStyle w:val="ListParagraph"/>
        <w:widowControl w:val="0"/>
        <w:numPr>
          <w:ilvl w:val="0"/>
          <w:numId w:val="47"/>
        </w:numPr>
        <w:tabs>
          <w:tab w:val="left" w:pos="851"/>
          <w:tab w:val="center" w:pos="4535"/>
        </w:tabs>
        <w:adjustRightInd w:val="0"/>
        <w:snapToGrid w:val="0"/>
        <w:spacing w:before="120" w:after="0" w:line="252" w:lineRule="auto"/>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Tập trung nâng cao chất lượng các c</w:t>
      </w:r>
      <w:r w:rsidR="00A7065B" w:rsidRPr="0043515C">
        <w:rPr>
          <w:rFonts w:asciiTheme="majorHAnsi" w:hAnsiTheme="majorHAnsi" w:cstheme="majorHAnsi"/>
          <w:i/>
          <w:szCs w:val="28"/>
          <w:lang w:val="nl-NL"/>
        </w:rPr>
        <w:t xml:space="preserve">hương trình đào tạo chuẩn bị sản xuất cho các </w:t>
      </w:r>
      <w:r w:rsidRPr="0043515C">
        <w:rPr>
          <w:rFonts w:asciiTheme="majorHAnsi" w:hAnsiTheme="majorHAnsi" w:cstheme="majorHAnsi"/>
          <w:i/>
          <w:szCs w:val="28"/>
          <w:lang w:val="nl-NL"/>
        </w:rPr>
        <w:t>công trình trọng điểm</w:t>
      </w:r>
      <w:r w:rsidR="00A7065B" w:rsidRPr="0043515C">
        <w:rPr>
          <w:rFonts w:asciiTheme="majorHAnsi" w:hAnsiTheme="majorHAnsi" w:cstheme="majorHAnsi"/>
          <w:i/>
          <w:szCs w:val="28"/>
          <w:lang w:val="nl-NL"/>
        </w:rPr>
        <w:t xml:space="preserve"> nguồn điện và lưới điện. </w:t>
      </w:r>
    </w:p>
    <w:p w14:paraId="278239F0" w14:textId="77777777" w:rsidR="00A7065B" w:rsidRPr="0043515C" w:rsidRDefault="00A7065B" w:rsidP="00367071">
      <w:pPr>
        <w:widowControl w:val="0"/>
        <w:tabs>
          <w:tab w:val="left" w:pos="851"/>
          <w:tab w:val="center" w:pos="4535"/>
        </w:tabs>
        <w:adjustRightInd w:val="0"/>
        <w:snapToGrid w:val="0"/>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Từ năm 2021, EVN đã hoàn thành xây dựng, ban hành bộ tài liệu Hướng dẫn xây dựng chương trình đào tạo chuẩn bị sản xuất cho các chức danh vận hành nhà máy nhiệt điện than, nhà máy thủy điện, nhà máy nhiệt điện tuabin khí chu trình hỗn hợp, nhà máy điện mặt trời, đường dây và trạm biến áp từ cấp điện áp 110 kV - 500 kV; xây dựng kế hoạch và tổ chức tuyển dụng, đào tạo nhân sự CBSX dự án NMNĐ Quảng Trạch I; thẩm tra, trình duyệt và thẩm tra kế hoạch đào tạo CBSX các công trình Nhà máy Thủy điện Hòa Bình mở rộng, Nhà máy Thủy điện Ialy mở rộng; các dự án đường dây và trạm biến áp Nậm Mô-Tương Dương, 500kV Lào Cai, các dự án CNTT...</w:t>
      </w:r>
    </w:p>
    <w:p w14:paraId="3275CA6D" w14:textId="2E1804ED" w:rsidR="00A3727F" w:rsidRPr="00367071" w:rsidRDefault="00A3727F" w:rsidP="00367071">
      <w:pPr>
        <w:tabs>
          <w:tab w:val="left" w:pos="851"/>
        </w:tabs>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Luôn có đào tạo dự phòng các vị trí quan trọng. Điều này đặc biệt phù hợp với chuẩn bị sản xuất cho các nhà máy điện truyền thống và cho chính các nhà máy đang hoạt động do thời gian đào tạo một vị trí chủ chốt trong nhà máy rất dài. Các vị trí chủ chốt phải yêu cầu sát hạch và cấp chứng chỉ nhưng nhà máy có thể tăng cường đào tạo kèm cặp trước, tương tự như quy hoạch cán bộ kế cận.</w:t>
      </w:r>
    </w:p>
    <w:p w14:paraId="65BA0A8C" w14:textId="77777777" w:rsidR="00A7065B" w:rsidRPr="0043515C" w:rsidRDefault="00A7065B" w:rsidP="00367071">
      <w:pPr>
        <w:widowControl w:val="0"/>
        <w:tabs>
          <w:tab w:val="left" w:pos="851"/>
        </w:tabs>
        <w:adjustRightInd w:val="0"/>
        <w:snapToGrid w:val="0"/>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Năm 2025, cùng với chủ trương tái khởi động Dự án điện hạt nhân Ninh Thuận và Tập đoàn được Chính phủ giao làm chủ đầu tư Dự án điện hạt nhân Ninh Thuận 1, EVN đã kịp thời triển khai các nhiệm vụ:</w:t>
      </w:r>
    </w:p>
    <w:p w14:paraId="2D339412" w14:textId="77777777" w:rsidR="00A7065B" w:rsidRPr="0043515C" w:rsidRDefault="00A7065B" w:rsidP="00367071">
      <w:pPr>
        <w:pStyle w:val="ListParagraph"/>
        <w:widowControl w:val="0"/>
        <w:numPr>
          <w:ilvl w:val="0"/>
          <w:numId w:val="21"/>
        </w:numPr>
        <w:tabs>
          <w:tab w:val="left" w:pos="851"/>
          <w:tab w:val="left" w:pos="990"/>
        </w:tabs>
        <w:adjustRightInd w:val="0"/>
        <w:snapToGrid w:val="0"/>
        <w:spacing w:before="120" w:after="0" w:line="252" w:lineRule="auto"/>
        <w:ind w:left="0" w:firstLine="567"/>
        <w:jc w:val="both"/>
        <w:rPr>
          <w:rFonts w:asciiTheme="majorHAnsi" w:hAnsiTheme="majorHAnsi" w:cstheme="majorHAnsi"/>
          <w:szCs w:val="28"/>
          <w:lang w:val="vi-VN"/>
        </w:rPr>
      </w:pPr>
      <w:r w:rsidRPr="0043515C">
        <w:rPr>
          <w:rFonts w:asciiTheme="majorHAnsi" w:hAnsiTheme="majorHAnsi" w:cstheme="majorHAnsi"/>
          <w:szCs w:val="28"/>
          <w:lang w:val="nl-NL"/>
        </w:rPr>
        <w:t xml:space="preserve">Báo cáo Thủ tướng Chính phủ Kế hoạch đào tạo nhân lực cho Dự án ĐHN Ninh Thuận 1 kèm theo văn bản số 1463/EVN-TCNS ngày 07/3/2025; </w:t>
      </w:r>
    </w:p>
    <w:p w14:paraId="3DB3327B" w14:textId="77777777" w:rsidR="008000A6" w:rsidRPr="0043515C" w:rsidRDefault="00A7065B" w:rsidP="00367071">
      <w:pPr>
        <w:pStyle w:val="ListParagraph"/>
        <w:widowControl w:val="0"/>
        <w:numPr>
          <w:ilvl w:val="0"/>
          <w:numId w:val="21"/>
        </w:numPr>
        <w:tabs>
          <w:tab w:val="left" w:pos="851"/>
          <w:tab w:val="left" w:pos="990"/>
        </w:tabs>
        <w:adjustRightInd w:val="0"/>
        <w:snapToGrid w:val="0"/>
        <w:spacing w:before="120" w:after="0" w:line="252" w:lineRule="auto"/>
        <w:ind w:left="0" w:firstLine="567"/>
        <w:jc w:val="both"/>
        <w:rPr>
          <w:rFonts w:asciiTheme="majorHAnsi" w:hAnsiTheme="majorHAnsi" w:cstheme="majorHAnsi"/>
          <w:szCs w:val="28"/>
          <w:lang w:val="vi-VN"/>
        </w:rPr>
      </w:pPr>
      <w:r w:rsidRPr="0043515C">
        <w:rPr>
          <w:rFonts w:asciiTheme="majorHAnsi" w:hAnsiTheme="majorHAnsi" w:cstheme="majorHAnsi"/>
          <w:szCs w:val="28"/>
          <w:lang w:val="vi-VN"/>
        </w:rPr>
        <w:t>Trình HĐTV Dự án đào tạo nguồn nhân lực cho Dự án ĐHN Ninh Thuận 1 kèm theo các Tờ trình số 1693/TTr-EVN ngày 18/3/2025, số 7015/TTr-EVN ngày 03/11/2025 về việc phê duyệt Kế hoạch đào tạo nguồn nhân lực cho Dự án điện hạt nhân Ninh Thuận 1</w:t>
      </w:r>
      <w:r w:rsidR="008000A6" w:rsidRPr="00367071">
        <w:rPr>
          <w:rFonts w:asciiTheme="majorHAnsi" w:hAnsiTheme="majorHAnsi" w:cstheme="majorHAnsi"/>
          <w:szCs w:val="28"/>
          <w:lang w:val="vi-VN"/>
        </w:rPr>
        <w:t>.</w:t>
      </w:r>
    </w:p>
    <w:p w14:paraId="1317DA89" w14:textId="23E25A69" w:rsidR="00A7065B" w:rsidRPr="0043515C" w:rsidRDefault="00A7065B" w:rsidP="00367071">
      <w:pPr>
        <w:pStyle w:val="ListParagraph"/>
        <w:widowControl w:val="0"/>
        <w:numPr>
          <w:ilvl w:val="0"/>
          <w:numId w:val="21"/>
        </w:numPr>
        <w:tabs>
          <w:tab w:val="left" w:pos="851"/>
          <w:tab w:val="left" w:pos="990"/>
        </w:tabs>
        <w:adjustRightInd w:val="0"/>
        <w:snapToGrid w:val="0"/>
        <w:spacing w:before="120" w:after="0" w:line="252" w:lineRule="auto"/>
        <w:ind w:left="0" w:firstLine="567"/>
        <w:jc w:val="both"/>
        <w:rPr>
          <w:rFonts w:asciiTheme="majorHAnsi" w:hAnsiTheme="majorHAnsi" w:cstheme="majorHAnsi"/>
          <w:szCs w:val="28"/>
          <w:lang w:val="vi-VN"/>
        </w:rPr>
      </w:pPr>
      <w:r w:rsidRPr="0043515C">
        <w:rPr>
          <w:rFonts w:asciiTheme="majorHAnsi" w:hAnsiTheme="majorHAnsi" w:cstheme="majorHAnsi"/>
          <w:szCs w:val="28"/>
          <w:lang w:val="vi-VN"/>
        </w:rPr>
        <w:lastRenderedPageBreak/>
        <w:t>Tích cực phối hợp với Bộ GD&amp;ĐT trong quá trình xây dựng, ban hành và triển khai Đề án “Đào tạo, bồi dưỡng nguồn nhân lực phục vụ phát triển điện hạt nhân đến năm 2034” kèm theo Quyết định số 1012/QĐ-TTg ngày 26/5/2025.</w:t>
      </w:r>
    </w:p>
    <w:p w14:paraId="3324FE81" w14:textId="1025BEDD" w:rsidR="00552987" w:rsidRPr="0043515C" w:rsidRDefault="008F09C4" w:rsidP="00367071">
      <w:pPr>
        <w:pStyle w:val="ListParagraph"/>
        <w:widowControl w:val="0"/>
        <w:numPr>
          <w:ilvl w:val="0"/>
          <w:numId w:val="47"/>
        </w:numPr>
        <w:tabs>
          <w:tab w:val="left" w:pos="851"/>
          <w:tab w:val="center" w:pos="4535"/>
        </w:tabs>
        <w:adjustRightInd w:val="0"/>
        <w:snapToGrid w:val="0"/>
        <w:spacing w:before="120" w:after="0" w:line="252" w:lineRule="auto"/>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Bắt đầu quá trình x</w:t>
      </w:r>
      <w:r w:rsidR="00552987" w:rsidRPr="0043515C">
        <w:rPr>
          <w:rFonts w:asciiTheme="majorHAnsi" w:hAnsiTheme="majorHAnsi" w:cstheme="majorHAnsi"/>
          <w:i/>
          <w:szCs w:val="28"/>
          <w:lang w:val="nl-NL"/>
        </w:rPr>
        <w:t>ây dựng hệ thống quản trị tri thức</w:t>
      </w:r>
      <w:r w:rsidRPr="0043515C">
        <w:rPr>
          <w:rFonts w:asciiTheme="majorHAnsi" w:hAnsiTheme="majorHAnsi" w:cstheme="majorHAnsi"/>
          <w:i/>
          <w:szCs w:val="28"/>
          <w:lang w:val="nl-NL"/>
        </w:rPr>
        <w:t xml:space="preserve"> trong EVN</w:t>
      </w:r>
    </w:p>
    <w:p w14:paraId="7AF19D87" w14:textId="77777777" w:rsidR="00A3727F" w:rsidRPr="00367071" w:rsidRDefault="008000A6" w:rsidP="00367071">
      <w:pPr>
        <w:tabs>
          <w:tab w:val="left" w:pos="851"/>
        </w:tabs>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Như đã đề cập ở trên, với đặc điểm </w:t>
      </w:r>
      <w:r w:rsidR="00A3727F" w:rsidRPr="00367071">
        <w:rPr>
          <w:rFonts w:asciiTheme="majorHAnsi" w:hAnsiTheme="majorHAnsi" w:cstheme="majorHAnsi"/>
          <w:sz w:val="28"/>
          <w:szCs w:val="28"/>
          <w:lang w:val="nl-NL"/>
        </w:rPr>
        <w:t>cơ cấu nhân lực già, số lượng người nhiều kinh nghiệm nhưng sắp đến tuổi về hưu chiếm đa số nên cần chuẩn bị tốt cho khoảng thời gian chuyển giao giữa các thế hệ.</w:t>
      </w:r>
      <w:r w:rsidRPr="00367071">
        <w:rPr>
          <w:rFonts w:asciiTheme="majorHAnsi" w:hAnsiTheme="majorHAnsi" w:cstheme="majorHAnsi"/>
          <w:sz w:val="28"/>
          <w:szCs w:val="28"/>
          <w:lang w:val="nl-NL"/>
        </w:rPr>
        <w:t xml:space="preserve"> </w:t>
      </w:r>
      <w:r w:rsidR="00A3727F" w:rsidRPr="00367071">
        <w:rPr>
          <w:rFonts w:asciiTheme="majorHAnsi" w:hAnsiTheme="majorHAnsi" w:cstheme="majorHAnsi"/>
          <w:sz w:val="28"/>
          <w:szCs w:val="28"/>
          <w:lang w:val="nl-NL"/>
        </w:rPr>
        <w:t>Hơn nữa, đối với doanh nghiệp, tài sản tri thức của các chuyên gia cũng cần được coi là một tài sản cần được lưu giữ, quản lý và khai thác. Từ năm 2021, EVN đã triển khai xây dựng hệ thống quản trị tri thức bao gồm:</w:t>
      </w:r>
    </w:p>
    <w:p w14:paraId="113FF31A" w14:textId="476CF0D5" w:rsidR="00A3727F" w:rsidRPr="00367071" w:rsidRDefault="00A3727F" w:rsidP="00367071">
      <w:pPr>
        <w:pStyle w:val="ListParagraph"/>
        <w:numPr>
          <w:ilvl w:val="0"/>
          <w:numId w:val="21"/>
        </w:numPr>
        <w:tabs>
          <w:tab w:val="left" w:pos="851"/>
        </w:tabs>
        <w:spacing w:before="120" w:after="0" w:line="252" w:lineRule="auto"/>
        <w:ind w:left="0" w:firstLine="567"/>
        <w:jc w:val="both"/>
        <w:rPr>
          <w:rFonts w:asciiTheme="majorHAnsi" w:hAnsiTheme="majorHAnsi" w:cstheme="majorHAnsi"/>
          <w:szCs w:val="28"/>
          <w:lang w:val="nl-NL"/>
        </w:rPr>
      </w:pPr>
      <w:r w:rsidRPr="00367071">
        <w:rPr>
          <w:rFonts w:asciiTheme="majorHAnsi" w:hAnsiTheme="majorHAnsi" w:cstheme="majorHAnsi"/>
          <w:szCs w:val="28"/>
          <w:lang w:val="nl-NL"/>
        </w:rPr>
        <w:t xml:space="preserve"> Xây dựng lực lượng giảng viên nội bộ trong EVN: Quy định đào tạo PTNNL của EVN </w:t>
      </w:r>
      <w:r w:rsidR="00ED0247">
        <w:rPr>
          <w:rFonts w:asciiTheme="majorHAnsi" w:hAnsiTheme="majorHAnsi" w:cstheme="majorHAnsi"/>
          <w:szCs w:val="28"/>
          <w:lang w:val="nl-NL"/>
        </w:rPr>
        <w:t>năm</w:t>
      </w:r>
      <w:r w:rsidRPr="00367071">
        <w:rPr>
          <w:rFonts w:asciiTheme="majorHAnsi" w:hAnsiTheme="majorHAnsi" w:cstheme="majorHAnsi"/>
          <w:szCs w:val="28"/>
          <w:lang w:val="nl-NL"/>
        </w:rPr>
        <w:t xml:space="preserve"> 2021 đã đưa ra các yêu cầu chuẩn hóa đối với nhóm giảng viên nội bộ và yêu cầu chỉ những người đạt chuẩn (bao g</w:t>
      </w:r>
      <w:r w:rsidR="00967A62" w:rsidRPr="00367071">
        <w:rPr>
          <w:rFonts w:asciiTheme="majorHAnsi" w:hAnsiTheme="majorHAnsi" w:cstheme="majorHAnsi"/>
          <w:szCs w:val="28"/>
          <w:lang w:val="nl-NL"/>
        </w:rPr>
        <w:t>ồ</w:t>
      </w:r>
      <w:r w:rsidRPr="00367071">
        <w:rPr>
          <w:rFonts w:asciiTheme="majorHAnsi" w:hAnsiTheme="majorHAnsi" w:cstheme="majorHAnsi"/>
          <w:szCs w:val="28"/>
          <w:lang w:val="nl-NL"/>
        </w:rPr>
        <w:t xml:space="preserve">m CBQL và chuyên gia các cấp) mới được tham gia biên soạn chương trình, giáo trình, câu hỏi sát hạch. </w:t>
      </w:r>
    </w:p>
    <w:p w14:paraId="1021A4AD" w14:textId="0FAB8A44" w:rsidR="00A3727F" w:rsidRPr="00367071" w:rsidRDefault="00A3727F" w:rsidP="00367071">
      <w:pPr>
        <w:pStyle w:val="ListParagraph"/>
        <w:numPr>
          <w:ilvl w:val="0"/>
          <w:numId w:val="21"/>
        </w:numPr>
        <w:tabs>
          <w:tab w:val="left" w:pos="851"/>
        </w:tabs>
        <w:spacing w:before="120" w:after="0" w:line="252" w:lineRule="auto"/>
        <w:ind w:left="0" w:firstLine="567"/>
        <w:jc w:val="both"/>
        <w:rPr>
          <w:rFonts w:asciiTheme="majorHAnsi" w:hAnsiTheme="majorHAnsi" w:cstheme="majorHAnsi"/>
          <w:szCs w:val="28"/>
          <w:lang w:val="nl-NL"/>
        </w:rPr>
      </w:pPr>
      <w:r w:rsidRPr="00367071">
        <w:rPr>
          <w:rFonts w:asciiTheme="majorHAnsi" w:hAnsiTheme="majorHAnsi" w:cstheme="majorHAnsi"/>
          <w:szCs w:val="28"/>
          <w:lang w:val="nl-NL"/>
        </w:rPr>
        <w:t>Xây dựng hệ thống bài giảng, câu hỏi đạt chuẩn: các chuyên gia được yêu cầu xây dựng bài giảng và chương trình đào tạo theo lĩnh vực chuyên gia và được Ban TCNS lưu giữ, tổ chức đào tạo trong EVN; đối với các bài giảng, câu hỏi sát hạch EVN yêu cầu các đơn vị hàng năm phải rà soát</w:t>
      </w:r>
      <w:r w:rsidR="00967A62" w:rsidRPr="00367071">
        <w:rPr>
          <w:rFonts w:asciiTheme="majorHAnsi" w:hAnsiTheme="majorHAnsi" w:cstheme="majorHAnsi"/>
          <w:szCs w:val="28"/>
          <w:lang w:val="nl-NL"/>
        </w:rPr>
        <w:t xml:space="preserve"> bổ sung kinh nghiệm, khiếm khuyết thiết bị, lỗi thao tác gây ra sự cố... để từng bước nâng cao chất lượng đào tạo, tránh sự cố lặp lại và nâng cao hiệu quả vận hành, bảo dưỡng.</w:t>
      </w:r>
    </w:p>
    <w:p w14:paraId="4F7B64E2" w14:textId="77777777" w:rsidR="00A420EF" w:rsidRPr="0043515C" w:rsidRDefault="00A420EF" w:rsidP="00367071">
      <w:pPr>
        <w:pStyle w:val="ListParagraph"/>
        <w:widowControl w:val="0"/>
        <w:numPr>
          <w:ilvl w:val="0"/>
          <w:numId w:val="47"/>
        </w:numPr>
        <w:tabs>
          <w:tab w:val="left" w:pos="851"/>
          <w:tab w:val="center" w:pos="4535"/>
        </w:tabs>
        <w:adjustRightInd w:val="0"/>
        <w:snapToGrid w:val="0"/>
        <w:spacing w:before="120" w:after="0" w:line="252" w:lineRule="auto"/>
        <w:ind w:left="0" w:firstLine="567"/>
        <w:jc w:val="both"/>
        <w:rPr>
          <w:rFonts w:asciiTheme="majorHAnsi" w:hAnsiTheme="majorHAnsi" w:cstheme="majorHAnsi"/>
          <w:i/>
          <w:szCs w:val="28"/>
          <w:lang w:val="nl-NL"/>
        </w:rPr>
      </w:pPr>
      <w:r w:rsidRPr="0043515C">
        <w:rPr>
          <w:rFonts w:asciiTheme="majorHAnsi" w:hAnsiTheme="majorHAnsi" w:cstheme="majorHAnsi"/>
          <w:i/>
          <w:szCs w:val="28"/>
          <w:lang w:val="nl-NL"/>
        </w:rPr>
        <w:t>Các hoạt động hợp tác về đào tạo được triển khai mạnh mẽ, xây dựng quan hệ gắn kết với các tổ chức, cơ sở đào tạo có uy tín trong và ngoài nước</w:t>
      </w:r>
    </w:p>
    <w:p w14:paraId="4BDA0473" w14:textId="77777777" w:rsidR="00A420EF" w:rsidRPr="0043515C" w:rsidRDefault="00A420EF" w:rsidP="00367071">
      <w:pPr>
        <w:widowControl w:val="0"/>
        <w:tabs>
          <w:tab w:val="left" w:pos="851"/>
          <w:tab w:val="center" w:pos="4535"/>
        </w:tabs>
        <w:adjustRightInd w:val="0"/>
        <w:snapToGrid w:val="0"/>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 xml:space="preserve">Trong giai đoạn vừa qua, EVN đã tích cực kết nối với các tổ chức nước ngoài như GIZ, Đại sứ quán Anh, Đại sứ quán Australia, trường Đại học Năng lượng Mát-xcơ-va, trường Đại học Kỹ thuật Novosibirsk của LB Nga, Đại sứ quán Ấn Độ, Đại sứ quán New Zealand để tìm kiếm các chương trình đào tạo hiện đại hỗ trợ nâng cao năng lực cho cán bộ quản lý, chuyên môn của EVN; </w:t>
      </w:r>
      <w:r w:rsidRPr="0043515C">
        <w:rPr>
          <w:rFonts w:asciiTheme="majorHAnsi" w:hAnsiTheme="majorHAnsi" w:cstheme="majorHAnsi"/>
          <w:sz w:val="28"/>
          <w:szCs w:val="28"/>
          <w:lang w:val="vi-VN"/>
        </w:rPr>
        <w:t xml:space="preserve">tổ chức cho 02 đoàn cán bộ của EVN đi trao đổi học tập về công tác xây dựng Đảng (tại CSG) và công tác kiểm tra thanh tra (tại TNB và SP); </w:t>
      </w:r>
      <w:r w:rsidRPr="0043515C">
        <w:rPr>
          <w:rFonts w:asciiTheme="majorHAnsi" w:hAnsiTheme="majorHAnsi" w:cstheme="majorHAnsi"/>
          <w:sz w:val="28"/>
          <w:szCs w:val="28"/>
          <w:lang w:val="nl-NL"/>
        </w:rPr>
        <w:t>tổ chức trao học bổng cho sinh viên xuất sắc 6 trường đại học lớn đã ký thỏa thuận tài trợ học bổng với EVN; tiếp tục là thành viên tích cực trong tổ chức HAPUA, đặc biệt là Nhóm công tác số 5 về Nguồn nhân lực đã tổ chức nhiều chương trình đào tạo tại các quốc gia Đông Nam Á và EVN đã cử cán bộ tham gia 06 chương trình.</w:t>
      </w:r>
    </w:p>
    <w:p w14:paraId="117873C7" w14:textId="7E179DFE" w:rsidR="005727F8" w:rsidRPr="0043515C" w:rsidRDefault="00465C19" w:rsidP="00367071">
      <w:pPr>
        <w:tabs>
          <w:tab w:val="left" w:pos="851"/>
        </w:tabs>
        <w:spacing w:before="120" w:line="252" w:lineRule="auto"/>
        <w:ind w:firstLine="567"/>
        <w:jc w:val="both"/>
        <w:rPr>
          <w:rFonts w:asciiTheme="majorHAnsi" w:hAnsiTheme="majorHAnsi" w:cstheme="majorHAnsi"/>
          <w:b/>
          <w:bCs/>
          <w:sz w:val="28"/>
          <w:szCs w:val="28"/>
          <w:lang w:val="it-IT"/>
        </w:rPr>
      </w:pPr>
      <w:r w:rsidRPr="00367071">
        <w:rPr>
          <w:rFonts w:asciiTheme="majorHAnsi" w:hAnsiTheme="majorHAnsi" w:cstheme="majorHAnsi"/>
          <w:b/>
          <w:bCs/>
          <w:sz w:val="28"/>
          <w:szCs w:val="28"/>
          <w:lang w:val="nl-NL"/>
        </w:rPr>
        <w:t>3. Các c</w:t>
      </w:r>
      <w:r w:rsidR="005727F8" w:rsidRPr="00367071">
        <w:rPr>
          <w:rFonts w:asciiTheme="majorHAnsi" w:hAnsiTheme="majorHAnsi" w:cstheme="majorHAnsi"/>
          <w:b/>
          <w:bCs/>
          <w:sz w:val="28"/>
          <w:szCs w:val="28"/>
          <w:lang w:val="nl-NL"/>
        </w:rPr>
        <w:t>ông tác quản trị nguồn nhân lực</w:t>
      </w:r>
      <w:r w:rsidRPr="00367071">
        <w:rPr>
          <w:rFonts w:asciiTheme="majorHAnsi" w:hAnsiTheme="majorHAnsi" w:cstheme="majorHAnsi"/>
          <w:b/>
          <w:bCs/>
          <w:sz w:val="28"/>
          <w:szCs w:val="28"/>
          <w:lang w:val="nl-NL"/>
        </w:rPr>
        <w:t xml:space="preserve"> khác</w:t>
      </w:r>
      <w:r w:rsidR="005727F8" w:rsidRPr="00367071">
        <w:rPr>
          <w:rFonts w:asciiTheme="majorHAnsi" w:hAnsiTheme="majorHAnsi" w:cstheme="majorHAnsi"/>
          <w:b/>
          <w:bCs/>
          <w:sz w:val="28"/>
          <w:szCs w:val="28"/>
          <w:lang w:val="nl-NL"/>
        </w:rPr>
        <w:t xml:space="preserve"> hướng đến nâng cao chất</w:t>
      </w:r>
      <w:r w:rsidR="005727F8" w:rsidRPr="0043515C">
        <w:rPr>
          <w:rFonts w:asciiTheme="majorHAnsi" w:hAnsiTheme="majorHAnsi" w:cstheme="majorHAnsi"/>
          <w:b/>
          <w:bCs/>
          <w:sz w:val="28"/>
          <w:szCs w:val="28"/>
          <w:lang w:val="it-IT"/>
        </w:rPr>
        <w:t xml:space="preserve"> lượng nguồn nhân lực của EVN </w:t>
      </w:r>
    </w:p>
    <w:p w14:paraId="5821BCC2" w14:textId="2BE2731A" w:rsidR="00FD2722" w:rsidRPr="00367071" w:rsidRDefault="00FD2722" w:rsidP="00367071">
      <w:pPr>
        <w:spacing w:before="120" w:line="252" w:lineRule="auto"/>
        <w:ind w:firstLine="567"/>
        <w:jc w:val="both"/>
        <w:rPr>
          <w:rFonts w:asciiTheme="majorHAnsi" w:hAnsiTheme="majorHAnsi" w:cstheme="majorHAnsi"/>
          <w:sz w:val="28"/>
          <w:szCs w:val="28"/>
          <w:lang w:val="it-IT"/>
        </w:rPr>
      </w:pPr>
      <w:r w:rsidRPr="00367071">
        <w:rPr>
          <w:rFonts w:asciiTheme="majorHAnsi" w:hAnsiTheme="majorHAnsi" w:cstheme="majorHAnsi"/>
          <w:sz w:val="28"/>
          <w:szCs w:val="28"/>
          <w:lang w:val="it-IT"/>
        </w:rPr>
        <w:t xml:space="preserve">Trong các giai đoạn vừa qua, </w:t>
      </w:r>
      <w:r w:rsidR="00967A62" w:rsidRPr="00367071">
        <w:rPr>
          <w:rFonts w:asciiTheme="majorHAnsi" w:hAnsiTheme="majorHAnsi" w:cstheme="majorHAnsi"/>
          <w:sz w:val="28"/>
          <w:szCs w:val="28"/>
          <w:lang w:val="it-IT"/>
        </w:rPr>
        <w:t xml:space="preserve">ngoài các hoạt động đào tạo phát triển nguồn nhân lực, </w:t>
      </w:r>
      <w:r w:rsidRPr="00367071">
        <w:rPr>
          <w:rFonts w:asciiTheme="majorHAnsi" w:hAnsiTheme="majorHAnsi" w:cstheme="majorHAnsi"/>
          <w:sz w:val="28"/>
          <w:szCs w:val="28"/>
          <w:lang w:val="it-IT"/>
        </w:rPr>
        <w:t>EVN luôn quan tâm, chú trọng thực hiện các các giải pháp để quản lý, sử dụng lao động hiệu quả</w:t>
      </w:r>
      <w:r w:rsidR="00967A62" w:rsidRPr="00367071">
        <w:rPr>
          <w:rFonts w:asciiTheme="majorHAnsi" w:hAnsiTheme="majorHAnsi" w:cstheme="majorHAnsi"/>
          <w:sz w:val="28"/>
          <w:szCs w:val="28"/>
          <w:lang w:val="it-IT"/>
        </w:rPr>
        <w:t>, hợp lý, nâng cao chất lượng lao động để hướng tới mục tiêu</w:t>
      </w:r>
      <w:r w:rsidRPr="00367071">
        <w:rPr>
          <w:rFonts w:asciiTheme="majorHAnsi" w:hAnsiTheme="majorHAnsi" w:cstheme="majorHAnsi"/>
          <w:sz w:val="28"/>
          <w:szCs w:val="28"/>
          <w:lang w:val="it-IT"/>
        </w:rPr>
        <w:t xml:space="preserve"> tăng NSLĐ</w:t>
      </w:r>
      <w:r w:rsidR="00967A62" w:rsidRPr="00367071">
        <w:rPr>
          <w:rFonts w:asciiTheme="majorHAnsi" w:hAnsiTheme="majorHAnsi" w:cstheme="majorHAnsi"/>
          <w:sz w:val="28"/>
          <w:szCs w:val="28"/>
          <w:lang w:val="it-IT"/>
        </w:rPr>
        <w:t xml:space="preserve"> và hiệu quả sản xuất, kinh doanh.</w:t>
      </w:r>
    </w:p>
    <w:p w14:paraId="7E961C16" w14:textId="77777777" w:rsidR="005727F8" w:rsidRPr="00367071" w:rsidRDefault="005727F8" w:rsidP="00367071">
      <w:pPr>
        <w:tabs>
          <w:tab w:val="left" w:pos="851"/>
        </w:tabs>
        <w:spacing w:before="120" w:line="252" w:lineRule="auto"/>
        <w:ind w:firstLine="567"/>
        <w:jc w:val="both"/>
        <w:rPr>
          <w:rFonts w:asciiTheme="majorHAnsi" w:hAnsiTheme="majorHAnsi" w:cstheme="majorHAnsi"/>
          <w:sz w:val="28"/>
          <w:szCs w:val="28"/>
          <w:lang w:val="it-IT"/>
        </w:rPr>
      </w:pPr>
      <w:bookmarkStart w:id="1" w:name="_Toc163836526"/>
      <w:r w:rsidRPr="00367071">
        <w:rPr>
          <w:rFonts w:asciiTheme="majorHAnsi" w:hAnsiTheme="majorHAnsi" w:cstheme="majorHAnsi"/>
          <w:i/>
          <w:iCs/>
          <w:sz w:val="28"/>
          <w:szCs w:val="28"/>
          <w:lang w:val="it-IT"/>
        </w:rPr>
        <w:lastRenderedPageBreak/>
        <w:t>a)</w:t>
      </w:r>
      <w:r w:rsidRPr="0043515C">
        <w:rPr>
          <w:rFonts w:asciiTheme="majorHAnsi" w:hAnsiTheme="majorHAnsi" w:cstheme="majorHAnsi"/>
          <w:i/>
          <w:iCs/>
          <w:sz w:val="28"/>
          <w:szCs w:val="28"/>
          <w:lang w:val="vi-VN"/>
        </w:rPr>
        <w:t xml:space="preserve"> Thường xuyên sắp xếp tinh gọn, hợp lý hoá mô hình tổ chức sản xuất</w:t>
      </w:r>
      <w:r w:rsidRPr="00367071">
        <w:rPr>
          <w:rFonts w:asciiTheme="majorHAnsi" w:hAnsiTheme="majorHAnsi" w:cstheme="majorHAnsi"/>
          <w:i/>
          <w:iCs/>
          <w:sz w:val="28"/>
          <w:szCs w:val="28"/>
          <w:lang w:val="it-IT"/>
        </w:rPr>
        <w:t xml:space="preserve"> phù hợp với quá trình áp dụng tiến bộ công nghệ</w:t>
      </w:r>
      <w:r w:rsidRPr="0043515C">
        <w:rPr>
          <w:rFonts w:asciiTheme="majorHAnsi" w:hAnsiTheme="majorHAnsi" w:cstheme="majorHAnsi"/>
          <w:sz w:val="28"/>
          <w:szCs w:val="28"/>
          <w:lang w:val="vi-VN"/>
        </w:rPr>
        <w:t xml:space="preserve">: </w:t>
      </w:r>
    </w:p>
    <w:p w14:paraId="3C43A386" w14:textId="77777777" w:rsidR="0096115D" w:rsidRPr="00367071" w:rsidRDefault="0096115D" w:rsidP="00367071">
      <w:pPr>
        <w:spacing w:before="120" w:line="252" w:lineRule="auto"/>
        <w:ind w:firstLine="567"/>
        <w:jc w:val="both"/>
        <w:rPr>
          <w:rFonts w:asciiTheme="majorHAnsi" w:hAnsiTheme="majorHAnsi" w:cstheme="majorHAnsi"/>
          <w:sz w:val="28"/>
          <w:szCs w:val="28"/>
          <w:lang w:val="it-IT"/>
        </w:rPr>
      </w:pPr>
      <w:r w:rsidRPr="00367071">
        <w:rPr>
          <w:rFonts w:asciiTheme="majorHAnsi" w:hAnsiTheme="majorHAnsi" w:cstheme="majorHAnsi"/>
          <w:sz w:val="28"/>
          <w:szCs w:val="28"/>
          <w:lang w:val="it-IT"/>
        </w:rPr>
        <w:t xml:space="preserve">Cùng với việc đẩy mạnh ứng dụng các thành tựu KHCN và CĐS trong mọi hoạt động, EVN đã sắp xếp, điều chỉnh, tinh gọn mô hình tổ chức các đơn vị trong EVN cho phù hợp như: kết thúc hoạt động các Công ty lưới điện cao thế miền, chuyển việc điều khiển xa các TBA 110kV về phòng điều độ thuộc các CTĐL tỉnh, hình thành các tổ thao tác lưu động khi chuyển các TBA 110kV, 220kV chuyển sang không người trực; giảm số lượng các phòng, phân xưởng vận hành, phân xưởng sửa chữa tại các NMĐ của EVN và NMĐ của các EVNGENCO; các dự án NMTĐ mở rộng sau khi hoàn thành do phân xưởng vận hành của nhà máy hiện hữu đảm nhận công tác vận hành, không hình thành tổ chức mới;…. </w:t>
      </w:r>
    </w:p>
    <w:p w14:paraId="6CACCD0F" w14:textId="09E514E3" w:rsidR="0096115D" w:rsidRPr="00367071" w:rsidRDefault="0096115D" w:rsidP="00367071">
      <w:pPr>
        <w:tabs>
          <w:tab w:val="left" w:pos="851"/>
        </w:tabs>
        <w:spacing w:before="120" w:line="252" w:lineRule="auto"/>
        <w:ind w:firstLine="567"/>
        <w:jc w:val="both"/>
        <w:rPr>
          <w:rFonts w:asciiTheme="majorHAnsi" w:hAnsiTheme="majorHAnsi" w:cstheme="majorHAnsi"/>
          <w:sz w:val="28"/>
          <w:szCs w:val="28"/>
          <w:lang w:val="it-IT"/>
        </w:rPr>
      </w:pPr>
      <w:r w:rsidRPr="00367071">
        <w:rPr>
          <w:rFonts w:asciiTheme="majorHAnsi" w:hAnsiTheme="majorHAnsi" w:cstheme="majorHAnsi"/>
          <w:sz w:val="28"/>
          <w:szCs w:val="28"/>
          <w:lang w:val="it-IT"/>
        </w:rPr>
        <w:t>Lao động tiết kiệm từ việc áp dụng khoa học công nghệ và chuyển đổi số đã được EVN đào tạo lại, bố trí sắp xếp thực hiện các công việc tăng thêm do tăng trưởng khách hàng và các công trình điện mới đưa vào vận hành hàng năm. Cùng với các giải pháp về sắp xếp, tinh gọn tổ chức bộ máy và tiết kiệm lao động khác, tổng số lao động của EVN đã giảm trên 10% trong giai đoạn 2013-2024 trong bối cảnh quy mô hoạt động sản xuất kinh doanh của EVN tăng trưởng liên tục.</w:t>
      </w:r>
    </w:p>
    <w:p w14:paraId="2B1FE97F" w14:textId="64683B09" w:rsidR="00FD2722" w:rsidRPr="00367071" w:rsidRDefault="00914083" w:rsidP="00367071">
      <w:pPr>
        <w:spacing w:before="120" w:line="252" w:lineRule="auto"/>
        <w:ind w:firstLine="567"/>
        <w:jc w:val="both"/>
        <w:rPr>
          <w:rFonts w:asciiTheme="majorHAnsi" w:hAnsiTheme="majorHAnsi" w:cstheme="majorHAnsi"/>
          <w:sz w:val="28"/>
          <w:szCs w:val="28"/>
          <w:lang w:val="vi-VN"/>
        </w:rPr>
      </w:pPr>
      <w:r w:rsidRPr="00367071">
        <w:rPr>
          <w:rFonts w:asciiTheme="majorHAnsi" w:hAnsiTheme="majorHAnsi" w:cstheme="majorHAnsi"/>
          <w:sz w:val="28"/>
          <w:szCs w:val="28"/>
          <w:lang w:val="it-IT"/>
        </w:rPr>
        <w:t xml:space="preserve">Năm 2025, </w:t>
      </w:r>
      <w:r w:rsidR="00FD2722" w:rsidRPr="0043515C">
        <w:rPr>
          <w:rFonts w:asciiTheme="majorHAnsi" w:hAnsiTheme="majorHAnsi" w:cstheme="majorHAnsi"/>
          <w:sz w:val="28"/>
          <w:szCs w:val="28"/>
          <w:lang w:val="vi-VN"/>
        </w:rPr>
        <w:t xml:space="preserve">EVN </w:t>
      </w:r>
      <w:r w:rsidRPr="00367071">
        <w:rPr>
          <w:rFonts w:asciiTheme="majorHAnsi" w:hAnsiTheme="majorHAnsi" w:cstheme="majorHAnsi"/>
          <w:sz w:val="28"/>
          <w:szCs w:val="28"/>
          <w:lang w:val="it-IT"/>
        </w:rPr>
        <w:t xml:space="preserve">tiếp tục </w:t>
      </w:r>
      <w:r w:rsidR="00FD2722" w:rsidRPr="0043515C">
        <w:rPr>
          <w:rFonts w:asciiTheme="majorHAnsi" w:hAnsiTheme="majorHAnsi" w:cstheme="majorHAnsi"/>
          <w:sz w:val="28"/>
          <w:szCs w:val="28"/>
          <w:lang w:val="vi-VN"/>
        </w:rPr>
        <w:t>hoàn thành sắp xếp, tinh gọn bộ máy giúp việc Công ty mẹ - EVN và các đơn vị</w:t>
      </w:r>
      <w:r w:rsidRPr="00367071">
        <w:rPr>
          <w:rFonts w:asciiTheme="majorHAnsi" w:hAnsiTheme="majorHAnsi" w:cstheme="majorHAnsi"/>
          <w:sz w:val="28"/>
          <w:szCs w:val="28"/>
          <w:lang w:val="it-IT"/>
        </w:rPr>
        <w:t xml:space="preserve"> theo Nghị quyết 18</w:t>
      </w:r>
      <w:r w:rsidR="00FD2722" w:rsidRPr="0043515C">
        <w:rPr>
          <w:rFonts w:asciiTheme="majorHAnsi" w:hAnsiTheme="majorHAnsi" w:cstheme="majorHAnsi"/>
          <w:sz w:val="28"/>
          <w:szCs w:val="28"/>
          <w:lang w:val="vi-VN"/>
        </w:rPr>
        <w:t>. Theo đó: (i) Công ty mẹ-EVN: giảm 05 Ban chức năng (tỷ lệ giảm 24%), kết thúc hoạt động của 02 đơn vị hạch toán phụ thuộc EVNCTI và EVNPSC; (ii) c</w:t>
      </w:r>
      <w:r w:rsidR="00FD2722" w:rsidRPr="00367071">
        <w:rPr>
          <w:rFonts w:asciiTheme="majorHAnsi" w:hAnsiTheme="majorHAnsi" w:cstheme="majorHAnsi"/>
          <w:sz w:val="28"/>
          <w:szCs w:val="28"/>
          <w:lang w:val="vi-VN"/>
        </w:rPr>
        <w:t>ác Tổng công ty Điện lực (TCTĐL), Tổng công ty Truyền tải điện Quốc gia (EVNNPT), các Tổng công ty Phát điện sắp xếp, tinh gọn tổ chức bộ máy theo mô hình Tổng công ty 02 cấp; giảm các Ban/phòng chức năng; sáp nhập các CTĐL tỉnh/thành phố đồng bộ với việc sáp nhập đơn vị hành chính cấp tỉnh (giảm từ 61 còn 3</w:t>
      </w:r>
      <w:r w:rsidR="00FD2722" w:rsidRPr="0043515C">
        <w:rPr>
          <w:rFonts w:asciiTheme="majorHAnsi" w:hAnsiTheme="majorHAnsi" w:cstheme="majorHAnsi"/>
          <w:sz w:val="28"/>
          <w:szCs w:val="28"/>
          <w:lang w:val="vi-VN"/>
        </w:rPr>
        <w:t>3</w:t>
      </w:r>
      <w:r w:rsidR="00FD2722" w:rsidRPr="00367071">
        <w:rPr>
          <w:rFonts w:asciiTheme="majorHAnsi" w:hAnsiTheme="majorHAnsi" w:cstheme="majorHAnsi"/>
          <w:sz w:val="28"/>
          <w:szCs w:val="28"/>
          <w:lang w:val="vi-VN"/>
        </w:rPr>
        <w:t xml:space="preserve"> CTĐL tỉnh/thành phố, tỷ lệ giảm 4</w:t>
      </w:r>
      <w:r w:rsidR="00FD2722" w:rsidRPr="0043515C">
        <w:rPr>
          <w:rFonts w:asciiTheme="majorHAnsi" w:hAnsiTheme="majorHAnsi" w:cstheme="majorHAnsi"/>
          <w:sz w:val="28"/>
          <w:szCs w:val="28"/>
          <w:lang w:val="vi-VN"/>
        </w:rPr>
        <w:t>6</w:t>
      </w:r>
      <w:r w:rsidR="00FD2722" w:rsidRPr="00367071">
        <w:rPr>
          <w:rFonts w:asciiTheme="majorHAnsi" w:hAnsiTheme="majorHAnsi" w:cstheme="majorHAnsi"/>
          <w:sz w:val="28"/>
          <w:szCs w:val="28"/>
          <w:lang w:val="vi-VN"/>
        </w:rPr>
        <w:t>%); kết thúc hoạt động điện lực cấp huyện trong các TCTĐL miền (593 Điện lực) và tổ chức lại thành các Đội quản lý điện theo khu vực</w:t>
      </w:r>
      <w:r w:rsidR="00FD2722" w:rsidRPr="0043515C">
        <w:rPr>
          <w:rFonts w:asciiTheme="majorHAnsi" w:hAnsiTheme="majorHAnsi" w:cstheme="majorHAnsi"/>
          <w:sz w:val="28"/>
          <w:szCs w:val="28"/>
          <w:lang w:val="vi-VN"/>
        </w:rPr>
        <w:t>;</w:t>
      </w:r>
      <w:r w:rsidR="00FD2722" w:rsidRPr="00367071">
        <w:rPr>
          <w:rFonts w:asciiTheme="majorHAnsi" w:hAnsiTheme="majorHAnsi" w:cstheme="majorHAnsi"/>
          <w:sz w:val="28"/>
          <w:szCs w:val="28"/>
          <w:lang w:val="vi-VN"/>
        </w:rPr>
        <w:t xml:space="preserve"> tổ chức lại các CTĐL quận/huyện thuộc TCTĐL TP. Hà Nội (giảm từ 30 còn 12 CTĐL khu vực, tỷ lệ giảm 60%) và TCTĐL TP. Hồ Chí Minh (giảm từ 33 CTĐL/ĐL (trong đó 18 ĐL tiếp nhận từ 02 CTĐL Bình Dương và Bà Rịa-Vũng Tàu) còn 15 CTĐL khu vực, tỷ lệ giảm 54,5%) đồng bộ với kết thúc đơn vị hành chính cấp huyện; sắp xếp, cơ cấu lại các Truyền tải điện thành các Đội truyền tải điện thuộc các Công ty Truyền tải điện của EVNNPT; (iii) </w:t>
      </w:r>
      <w:r w:rsidR="00FD2722" w:rsidRPr="0043515C">
        <w:rPr>
          <w:rFonts w:asciiTheme="majorHAnsi" w:hAnsiTheme="majorHAnsi" w:cstheme="majorHAnsi"/>
          <w:sz w:val="28"/>
          <w:szCs w:val="28"/>
          <w:lang w:val="vi-VN"/>
        </w:rPr>
        <w:t>c</w:t>
      </w:r>
      <w:r w:rsidR="00FD2722" w:rsidRPr="00367071">
        <w:rPr>
          <w:rFonts w:asciiTheme="majorHAnsi" w:hAnsiTheme="majorHAnsi" w:cstheme="majorHAnsi"/>
          <w:sz w:val="28"/>
          <w:szCs w:val="28"/>
          <w:lang w:val="vi-VN"/>
        </w:rPr>
        <w:t>ác công ty con khác và các đơn vị trực thuộc EVN đã</w:t>
      </w:r>
      <w:r w:rsidR="00FD2722" w:rsidRPr="0043515C">
        <w:rPr>
          <w:rFonts w:asciiTheme="majorHAnsi" w:hAnsiTheme="majorHAnsi" w:cstheme="majorHAnsi"/>
          <w:sz w:val="28"/>
          <w:szCs w:val="28"/>
          <w:lang w:val="vi-VN"/>
        </w:rPr>
        <w:t xml:space="preserve"> </w:t>
      </w:r>
      <w:r w:rsidR="00FD2722" w:rsidRPr="00367071">
        <w:rPr>
          <w:rFonts w:asciiTheme="majorHAnsi" w:hAnsiTheme="majorHAnsi" w:cstheme="majorHAnsi"/>
          <w:sz w:val="28"/>
          <w:szCs w:val="28"/>
          <w:lang w:val="vi-VN"/>
        </w:rPr>
        <w:t>sắp xếp, tinh gọn tổ chức bộ máy, giảm các phòng chuyên môn/phân xưởng hoặc tương đương</w:t>
      </w:r>
      <w:r w:rsidR="00FD2722" w:rsidRPr="0043515C">
        <w:rPr>
          <w:rFonts w:asciiTheme="majorHAnsi" w:hAnsiTheme="majorHAnsi" w:cstheme="majorHAnsi"/>
          <w:sz w:val="28"/>
          <w:szCs w:val="28"/>
          <w:lang w:val="vi-VN"/>
        </w:rPr>
        <w:t>.</w:t>
      </w:r>
      <w:r w:rsidR="00465C19" w:rsidRPr="00367071">
        <w:rPr>
          <w:rFonts w:asciiTheme="majorHAnsi" w:hAnsiTheme="majorHAnsi" w:cstheme="majorHAnsi"/>
          <w:sz w:val="28"/>
          <w:szCs w:val="28"/>
          <w:lang w:val="vi-VN"/>
        </w:rPr>
        <w:t xml:space="preserve"> Số lượng cán bộ quản lý và lao động gián tiếp sau tinh giản đã giảm đi đáng kể (xem bảng 2).</w:t>
      </w:r>
    </w:p>
    <w:bookmarkEnd w:id="1"/>
    <w:p w14:paraId="70331690" w14:textId="23C1CA44" w:rsidR="005727F8" w:rsidRPr="00367071" w:rsidRDefault="005727F8" w:rsidP="00367071">
      <w:pPr>
        <w:pStyle w:val="ListParagraph"/>
        <w:numPr>
          <w:ilvl w:val="0"/>
          <w:numId w:val="34"/>
        </w:numPr>
        <w:tabs>
          <w:tab w:val="left" w:pos="851"/>
        </w:tabs>
        <w:spacing w:before="120" w:after="0" w:line="252" w:lineRule="auto"/>
        <w:ind w:left="0" w:firstLine="567"/>
        <w:jc w:val="both"/>
        <w:rPr>
          <w:rFonts w:asciiTheme="majorHAnsi" w:hAnsiTheme="majorHAnsi" w:cstheme="majorHAnsi"/>
          <w:szCs w:val="28"/>
          <w:lang w:val="vi-VN"/>
        </w:rPr>
      </w:pPr>
      <w:r w:rsidRPr="00367071">
        <w:rPr>
          <w:rFonts w:asciiTheme="majorHAnsi" w:hAnsiTheme="majorHAnsi" w:cstheme="majorHAnsi"/>
          <w:i/>
          <w:iCs/>
          <w:szCs w:val="28"/>
          <w:lang w:val="vi-VN"/>
        </w:rPr>
        <w:t>Áp dụng các chính sách quản lý lao động hợp lý như</w:t>
      </w:r>
      <w:r w:rsidRPr="00367071">
        <w:rPr>
          <w:rFonts w:asciiTheme="majorHAnsi" w:hAnsiTheme="majorHAnsi" w:cstheme="majorHAnsi"/>
          <w:szCs w:val="28"/>
          <w:lang w:val="vi-VN"/>
        </w:rPr>
        <w:t xml:space="preserve">: Thường xuyên rà soát, sửa đổi định mức lao động SXKD điện, định biên lao động trực tiếp sản xuất, lao động quản lý gián tiếp của các đơn vị phù hợp với yêu cầu nâng cao trình độ công nghệ, trình độ quản lý sản xuất; Kiểm soát chặt chẽ chỉ tiêu tuyển dụng lao động mới hàng năm của từng đơn vị gắn với chỉ tiêu năng suất lao động; Tăng cường sử dụng </w:t>
      </w:r>
      <w:r w:rsidRPr="00367071">
        <w:rPr>
          <w:rFonts w:asciiTheme="majorHAnsi" w:hAnsiTheme="majorHAnsi" w:cstheme="majorHAnsi"/>
          <w:szCs w:val="28"/>
          <w:lang w:val="vi-VN"/>
        </w:rPr>
        <w:lastRenderedPageBreak/>
        <w:t>lao động thuê ngoài cho các công việc phụ trợ, giản đơn và khuyến khích lao động dôi dư nghỉ hưu trước tuổi.</w:t>
      </w:r>
    </w:p>
    <w:p w14:paraId="33AC51AC" w14:textId="77777777" w:rsidR="0054658F" w:rsidRPr="0043515C" w:rsidRDefault="00610ED2" w:rsidP="00367071">
      <w:pPr>
        <w:tabs>
          <w:tab w:val="left" w:pos="851"/>
        </w:tabs>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w:t>
      </w:r>
      <w:r w:rsidRPr="0043515C">
        <w:rPr>
          <w:rFonts w:asciiTheme="majorHAnsi" w:hAnsiTheme="majorHAnsi" w:cstheme="majorHAnsi"/>
          <w:sz w:val="28"/>
          <w:szCs w:val="28"/>
          <w:lang w:val="nl-NL"/>
        </w:rPr>
        <w:tab/>
        <w:t xml:space="preserve">Chế tài hạn chế việc tuyển dụng nhân sự kém chất lượng: EVN ban hành Quy chế về công tác lao động tiền lương trong Tập đoàn Điện lực Quốc gia Việt Nam (theo Quyết định số 135/QĐ-HĐTV ngày 31/10/2021), theo đó: "Người lao động khi có nguyện vọng vào làm việc cho các đơn vị đều phải thông qua thi tuyển; EVN nghiêm cấm tuyển dụng lao động trái ngành, trái nghề, lao động chưa qua học nghề, đào tạo nghề”. </w:t>
      </w:r>
      <w:r w:rsidR="00FD2722" w:rsidRPr="0043515C">
        <w:rPr>
          <w:rFonts w:asciiTheme="majorHAnsi" w:hAnsiTheme="majorHAnsi" w:cstheme="majorHAnsi"/>
          <w:sz w:val="28"/>
          <w:szCs w:val="28"/>
          <w:lang w:val="nl-NL"/>
        </w:rPr>
        <w:t>T</w:t>
      </w:r>
      <w:r w:rsidRPr="0043515C">
        <w:rPr>
          <w:rFonts w:asciiTheme="majorHAnsi" w:hAnsiTheme="majorHAnsi" w:cstheme="majorHAnsi"/>
          <w:sz w:val="28"/>
          <w:szCs w:val="28"/>
          <w:lang w:val="nl-NL"/>
        </w:rPr>
        <w:t xml:space="preserve">ại cơ quan EVN luôn có sự tham gia của lãnh đạo (Tổng giám đốc hoặc Phó Tổng giám đốc) trực tiếp trong Hội đồng tuyển dụng và giám sát quá trình tuyển dụng. </w:t>
      </w:r>
      <w:bookmarkStart w:id="2" w:name="_Toc163836528"/>
    </w:p>
    <w:p w14:paraId="20DE274B" w14:textId="6AA6F598" w:rsidR="002C4BCC" w:rsidRPr="0043515C" w:rsidRDefault="0054658F" w:rsidP="00367071">
      <w:pPr>
        <w:tabs>
          <w:tab w:val="left" w:pos="851"/>
        </w:tabs>
        <w:spacing w:before="120" w:line="252" w:lineRule="auto"/>
        <w:ind w:firstLine="567"/>
        <w:jc w:val="both"/>
        <w:rPr>
          <w:rFonts w:asciiTheme="majorHAnsi" w:hAnsiTheme="majorHAnsi" w:cstheme="majorHAnsi"/>
          <w:sz w:val="28"/>
          <w:szCs w:val="28"/>
          <w:lang w:val="nl-NL"/>
        </w:rPr>
      </w:pPr>
      <w:r w:rsidRPr="0043515C">
        <w:rPr>
          <w:rFonts w:asciiTheme="majorHAnsi" w:hAnsiTheme="majorHAnsi" w:cstheme="majorHAnsi"/>
          <w:sz w:val="28"/>
          <w:szCs w:val="28"/>
          <w:lang w:val="nl-NL"/>
        </w:rPr>
        <w:t xml:space="preserve">- </w:t>
      </w:r>
      <w:r w:rsidR="002C4BCC" w:rsidRPr="00367071">
        <w:rPr>
          <w:rFonts w:asciiTheme="majorHAnsi" w:eastAsia="Calibri" w:hAnsiTheme="majorHAnsi" w:cstheme="majorHAnsi"/>
          <w:sz w:val="28"/>
          <w:szCs w:val="28"/>
          <w:lang w:val="nl-NL"/>
        </w:rPr>
        <w:t xml:space="preserve">Tăng cường phân cấp để các đơn vị linh hoạt trong việc trả lương, thu hút nguồn nhân lực chất lượng cao. </w:t>
      </w:r>
      <w:bookmarkEnd w:id="2"/>
    </w:p>
    <w:p w14:paraId="119EABD0" w14:textId="10002663" w:rsidR="005727F8" w:rsidRPr="00367071" w:rsidRDefault="00145759" w:rsidP="00367071">
      <w:pPr>
        <w:numPr>
          <w:ilvl w:val="0"/>
          <w:numId w:val="34"/>
        </w:numPr>
        <w:tabs>
          <w:tab w:val="left" w:pos="851"/>
        </w:tabs>
        <w:spacing w:before="120" w:line="252" w:lineRule="auto"/>
        <w:jc w:val="both"/>
        <w:rPr>
          <w:rFonts w:asciiTheme="majorHAnsi" w:eastAsia="Calibri" w:hAnsiTheme="majorHAnsi" w:cstheme="majorHAnsi"/>
          <w:i/>
          <w:iCs/>
          <w:sz w:val="28"/>
          <w:szCs w:val="28"/>
          <w:lang w:val="nl-NL"/>
        </w:rPr>
      </w:pPr>
      <w:r w:rsidRPr="00367071">
        <w:rPr>
          <w:rFonts w:asciiTheme="majorHAnsi" w:eastAsia="Calibri" w:hAnsiTheme="majorHAnsi" w:cstheme="majorHAnsi"/>
          <w:i/>
          <w:iCs/>
          <w:sz w:val="28"/>
          <w:szCs w:val="28"/>
          <w:lang w:val="nl-NL"/>
        </w:rPr>
        <w:t>Xây dựng phong trào và văn hóa học tập, đổi mới sáng tạo</w:t>
      </w:r>
    </w:p>
    <w:p w14:paraId="1198BE32" w14:textId="438A82E2" w:rsidR="0092787D" w:rsidRPr="00367071" w:rsidRDefault="0092787D" w:rsidP="00367071">
      <w:pPr>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EVN chú trọng xây dựng cơ chế khuyến khích học tập, đổi mới sáng tạo và phát triển nguồn nhân lực chất lượng cao. Phong trào “Học tập chủ động trong toàn EVN, xây dựng EVN trở thành tổ chức học tập” được triển khai sâu rộng, gắn với mục tiêu chuyển đổi số và xây dựng doanh nghiệp số có văn hóa mạnh. Cùng với phong trào “10 nghìn sáng kiến”, các hoạt động nghiên cứu khoa học, công nhận sáng kiến, tôn vinh thợ giỏi và biểu dương người lao động tiêu biểu đã góp phần tạo môi trường làm việc đề cao tri thức, kỹ năng, sáng tạo và tinh thần cống hiến. Trong năm 2025, EVN tiếp tục đẩy mạnh ứng dụng AI, dữ liệu lớn và công nghệ mới trong hoạt động sản xuất kinh doanh; được công nhận đạt mức độ chuyển đổi số mức 4 và ước tiết kiệm trên 3.000 tỷ đồng mỗi năm, qua đó tạo thêm cơ sở để hoàn thiện chính sách khuyến khích gắn với học tập, sáng tạo và hiệu quả công việc. </w:t>
      </w:r>
    </w:p>
    <w:p w14:paraId="473C6887" w14:textId="77777777" w:rsidR="0092787D" w:rsidRPr="00367071" w:rsidRDefault="0092787D" w:rsidP="00367071">
      <w:pPr>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Nhìn chung, việc tiếp tục hoàn thiện cơ chế, chính sách đãi ngộ tại EVN trong thời gian qua đã góp phần quan trọng trong việc khơi dậy tinh thần trách nhiệm, động lực học tập, năng lực đổi mới sáng tạo và ý thức cống hiến của đội ngũ cán bộ, công nhân viên; đồng thời tạo nền tảng để Tập đoàn nâng cao hiệu quả quản trị, chất lượng nguồn nhân lực và khả năng hoàn thành các nhiệm vụ chính trị, sản xuất kinh doanh trong giai đoạn mới. </w:t>
      </w:r>
    </w:p>
    <w:p w14:paraId="5EA167C1" w14:textId="58EA7C2E" w:rsidR="001B5988" w:rsidRPr="00367071" w:rsidRDefault="007850AB" w:rsidP="00367071">
      <w:pPr>
        <w:tabs>
          <w:tab w:val="left" w:pos="851"/>
        </w:tabs>
        <w:spacing w:before="120" w:line="252" w:lineRule="auto"/>
        <w:ind w:firstLine="567"/>
        <w:jc w:val="both"/>
        <w:rPr>
          <w:rFonts w:asciiTheme="majorHAnsi" w:hAnsiTheme="majorHAnsi" w:cstheme="majorHAnsi"/>
          <w:b/>
          <w:bCs/>
          <w:sz w:val="28"/>
          <w:szCs w:val="28"/>
          <w:lang w:val="nl-NL"/>
        </w:rPr>
      </w:pPr>
      <w:r w:rsidRPr="00367071">
        <w:rPr>
          <w:rFonts w:asciiTheme="majorHAnsi" w:hAnsiTheme="majorHAnsi" w:cstheme="majorHAnsi"/>
          <w:b/>
          <w:bCs/>
          <w:sz w:val="28"/>
          <w:szCs w:val="28"/>
          <w:lang w:val="nl-NL"/>
        </w:rPr>
        <w:t xml:space="preserve">II. </w:t>
      </w:r>
      <w:r w:rsidR="006A665D" w:rsidRPr="00367071">
        <w:rPr>
          <w:rFonts w:asciiTheme="majorHAnsi" w:hAnsiTheme="majorHAnsi" w:cstheme="majorHAnsi"/>
          <w:b/>
          <w:bCs/>
          <w:sz w:val="28"/>
          <w:szCs w:val="28"/>
          <w:lang w:val="nl-NL"/>
        </w:rPr>
        <w:t xml:space="preserve">Nâng cao chất lượng nguồn nhân lực đáp ứng yêu cầu phát triển của Tập đoàn </w:t>
      </w:r>
      <w:r w:rsidR="00AF24F2" w:rsidRPr="00367071">
        <w:rPr>
          <w:rFonts w:asciiTheme="majorHAnsi" w:hAnsiTheme="majorHAnsi" w:cstheme="majorHAnsi"/>
          <w:b/>
          <w:bCs/>
          <w:sz w:val="28"/>
          <w:szCs w:val="28"/>
          <w:lang w:val="nl-NL"/>
        </w:rPr>
        <w:t>giai đoạn 2026-2030, tầm nhìn đến 2035</w:t>
      </w:r>
    </w:p>
    <w:p w14:paraId="6BB2A43F" w14:textId="4ABF5C97" w:rsidR="006A665D" w:rsidRPr="00367071" w:rsidRDefault="006A665D" w:rsidP="00367071">
      <w:pPr>
        <w:pStyle w:val="ListParagraph"/>
        <w:numPr>
          <w:ilvl w:val="0"/>
          <w:numId w:val="49"/>
        </w:numPr>
        <w:tabs>
          <w:tab w:val="left" w:pos="851"/>
        </w:tabs>
        <w:spacing w:before="120" w:after="0" w:line="252" w:lineRule="auto"/>
        <w:ind w:left="0" w:firstLine="567"/>
        <w:jc w:val="both"/>
        <w:rPr>
          <w:rFonts w:asciiTheme="majorHAnsi" w:hAnsiTheme="majorHAnsi" w:cstheme="majorHAnsi"/>
          <w:b/>
          <w:bCs/>
          <w:szCs w:val="28"/>
          <w:lang w:val="nl-NL"/>
        </w:rPr>
      </w:pPr>
      <w:r w:rsidRPr="00367071">
        <w:rPr>
          <w:rFonts w:asciiTheme="majorHAnsi" w:hAnsiTheme="majorHAnsi" w:cstheme="majorHAnsi"/>
          <w:b/>
          <w:bCs/>
          <w:szCs w:val="28"/>
          <w:lang w:val="nl-NL"/>
        </w:rPr>
        <w:t xml:space="preserve">Những định hướng của Đảng và Chính phủ về nguồn nhân lực trong </w:t>
      </w:r>
      <w:r w:rsidR="0082700C" w:rsidRPr="00367071">
        <w:rPr>
          <w:rFonts w:asciiTheme="majorHAnsi" w:hAnsiTheme="majorHAnsi" w:cstheme="majorHAnsi"/>
          <w:b/>
          <w:bCs/>
          <w:szCs w:val="28"/>
          <w:lang w:val="nl-NL"/>
        </w:rPr>
        <w:t>giai đoạn tới</w:t>
      </w:r>
      <w:r w:rsidRPr="00367071">
        <w:rPr>
          <w:rFonts w:asciiTheme="majorHAnsi" w:hAnsiTheme="majorHAnsi" w:cstheme="majorHAnsi"/>
          <w:b/>
          <w:bCs/>
          <w:szCs w:val="28"/>
          <w:lang w:val="nl-NL"/>
        </w:rPr>
        <w:t>.</w:t>
      </w:r>
    </w:p>
    <w:p w14:paraId="4A3E1855" w14:textId="44402388" w:rsidR="00145759" w:rsidRPr="00367071" w:rsidRDefault="006A665D" w:rsidP="00367071">
      <w:pPr>
        <w:tabs>
          <w:tab w:val="left" w:pos="851"/>
        </w:tabs>
        <w:spacing w:before="120" w:line="252"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a) </w:t>
      </w:r>
      <w:r w:rsidR="00145759" w:rsidRPr="00367071">
        <w:rPr>
          <w:rFonts w:asciiTheme="majorHAnsi" w:hAnsiTheme="majorHAnsi" w:cstheme="majorHAnsi"/>
          <w:sz w:val="28"/>
          <w:szCs w:val="28"/>
          <w:lang w:val="nl-NL"/>
        </w:rPr>
        <w:t>Nghị quyết số 57-NQ/TW ngày 22/12/2024 của Bộ Chính trị về đột phá phát triển khoa học, công nghệ, đổi mới sáng tạo và chuyển đổi số quốc gia</w:t>
      </w:r>
      <w:r w:rsidRPr="00367071">
        <w:rPr>
          <w:rFonts w:asciiTheme="majorHAnsi" w:hAnsiTheme="majorHAnsi" w:cstheme="majorHAnsi"/>
          <w:sz w:val="28"/>
          <w:szCs w:val="28"/>
          <w:lang w:val="nl-NL"/>
        </w:rPr>
        <w:t xml:space="preserve"> đề ra một trong số các nhiệm vụ, giải pháp trọng tâm liên quan đến nhân lực của doanh nghiệp như sau:</w:t>
      </w:r>
    </w:p>
    <w:p w14:paraId="3D913583" w14:textId="5D0A8388" w:rsidR="00145759" w:rsidRPr="00367071" w:rsidRDefault="00726F72" w:rsidP="00726F72">
      <w:pPr>
        <w:tabs>
          <w:tab w:val="left" w:pos="851"/>
        </w:tabs>
        <w:spacing w:before="120" w:line="264" w:lineRule="auto"/>
        <w:ind w:firstLine="567"/>
        <w:jc w:val="both"/>
        <w:rPr>
          <w:rFonts w:asciiTheme="majorHAnsi" w:hAnsiTheme="majorHAnsi" w:cstheme="majorHAnsi"/>
          <w:i/>
          <w:iCs/>
          <w:sz w:val="28"/>
          <w:szCs w:val="28"/>
          <w:lang w:val="nl-NL"/>
        </w:rPr>
      </w:pPr>
      <w:r>
        <w:rPr>
          <w:rFonts w:asciiTheme="majorHAnsi" w:hAnsiTheme="majorHAnsi" w:cstheme="majorHAnsi"/>
          <w:i/>
          <w:iCs/>
          <w:sz w:val="28"/>
          <w:szCs w:val="28"/>
          <w:lang w:val="nl-NL"/>
        </w:rPr>
        <w:lastRenderedPageBreak/>
        <w:t xml:space="preserve">- </w:t>
      </w:r>
      <w:r w:rsidR="00145759" w:rsidRPr="00367071">
        <w:rPr>
          <w:rFonts w:asciiTheme="majorHAnsi" w:hAnsiTheme="majorHAnsi" w:cstheme="majorHAnsi"/>
          <w:i/>
          <w:iCs/>
          <w:sz w:val="28"/>
          <w:szCs w:val="28"/>
          <w:lang w:val="nl-NL"/>
        </w:rPr>
        <w:t>Phát triển, trọng dụng nhân lực chất lượng cao, nhân tài đáp ứng yêu cầu phát triển khoa học, công nghệ, đổi mới sáng tạo và chuyển đổi số quốc gia</w:t>
      </w:r>
    </w:p>
    <w:p w14:paraId="4CA81167" w14:textId="77777777" w:rsidR="006A665D"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Tăng cường đầu tư, đổi mới, nâng cao chất lượng giáo dục và đào tạo, bảo đảm nguồn nhân lực chất lượng cao đáp ứng yêu cầu phát triển khoa học, công nghệ, đổi mới sáng tạo và chuyển đổi số quốc gia. Có cơ chế, chính sách hấp dẫn về tín dụng, học bổng và học phí để thu hút học sinh, sinh viên giỏi theo học các lĩnh vực toán học, vật lý, sinh học, hoá học, kỹ thuật và công nghệ then chốt, nhất là ở các trình độ sau đại học. Xây dựng và triển khai các chương trình đào tạo tài năng trên các lĩnh vực. </w:t>
      </w:r>
    </w:p>
    <w:p w14:paraId="5F4C8E40" w14:textId="1ACC929E" w:rsidR="00145759" w:rsidRPr="00367071" w:rsidRDefault="006A665D"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xml:space="preserve">- </w:t>
      </w:r>
      <w:r w:rsidR="00145759" w:rsidRPr="00367071">
        <w:rPr>
          <w:rFonts w:asciiTheme="majorHAnsi" w:hAnsiTheme="majorHAnsi" w:cstheme="majorHAnsi"/>
          <w:i/>
          <w:iCs/>
          <w:sz w:val="28"/>
          <w:szCs w:val="28"/>
          <w:lang w:val="nl-NL"/>
        </w:rPr>
        <w:t>Ban hành cơ chế đặc thù thu hút người Việt Nam ở nước ngoài và người nước ngoài có trình độ cao về Việt Nam làm việc, sinh sống. 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 Xây dựng, kết nối và phát triển mạng lưới chuyên gia, nhà khoa học trong nước và quốc tế.</w:t>
      </w:r>
    </w:p>
    <w:p w14:paraId="16FA1B9F" w14:textId="77777777" w:rsidR="00145759"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Xây dựng một số trường, trung tâm đào tạo tiên tiến chuyên sâu về trí tuệ nhân tạo. Có cơ chế đặc thù về hợp tác công tư trong đào tạo nhân lực công nghệ số. Xây dựng nền tảng giáo dục, đào tạo trực tuyến, mô hình giáo dục đại học số, nâng cao năng lực số trong xã hội.</w:t>
      </w:r>
    </w:p>
    <w:p w14:paraId="14026B98" w14:textId="6B9FFF5B" w:rsidR="00145759"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 Phát triển đội ngũ giảng viên, các nhà khoa học đủ năng lực, trình độ đáp ứng việc giảng dạy lĩnh vực khoa học cơ bản, công nghệ chip bán dẫn, vi mạch, kỹ thuật và công nghệ then chốt; 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r w:rsidR="006A665D" w:rsidRPr="00367071">
        <w:rPr>
          <w:rFonts w:asciiTheme="majorHAnsi" w:hAnsiTheme="majorHAnsi" w:cstheme="majorHAnsi"/>
          <w:i/>
          <w:iCs/>
          <w:sz w:val="28"/>
          <w:szCs w:val="28"/>
          <w:lang w:val="nl-NL"/>
        </w:rPr>
        <w:t>.</w:t>
      </w:r>
    </w:p>
    <w:p w14:paraId="71BD2E3F" w14:textId="7696317E" w:rsidR="00145759" w:rsidRPr="00367071" w:rsidRDefault="006A665D" w:rsidP="00726F72">
      <w:pPr>
        <w:tabs>
          <w:tab w:val="left" w:pos="851"/>
        </w:tabs>
        <w:spacing w:before="120" w:line="264"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b) </w:t>
      </w:r>
      <w:r w:rsidR="00145759" w:rsidRPr="00367071">
        <w:rPr>
          <w:rFonts w:asciiTheme="majorHAnsi" w:hAnsiTheme="majorHAnsi" w:cstheme="majorHAnsi"/>
          <w:sz w:val="28"/>
          <w:szCs w:val="28"/>
          <w:lang w:val="nl-NL"/>
        </w:rPr>
        <w:t xml:space="preserve">Nghị quyết số 79-NQ/TW, ngày 6/1/2026 của Bộ Chính trị về phát triển kinh tế nhà nước đã </w:t>
      </w:r>
      <w:r w:rsidRPr="00367071">
        <w:rPr>
          <w:rFonts w:asciiTheme="majorHAnsi" w:hAnsiTheme="majorHAnsi" w:cstheme="majorHAnsi"/>
          <w:sz w:val="28"/>
          <w:szCs w:val="28"/>
          <w:lang w:val="nl-NL"/>
        </w:rPr>
        <w:t>đề ra một trong số các nhiệm vụ, giải pháp là các doanh nghiệp nhà nước cần phải</w:t>
      </w:r>
      <w:r w:rsidR="00145759" w:rsidRPr="00367071">
        <w:rPr>
          <w:rFonts w:asciiTheme="majorHAnsi" w:hAnsiTheme="majorHAnsi" w:cstheme="majorHAnsi"/>
          <w:sz w:val="28"/>
          <w:szCs w:val="28"/>
          <w:lang w:val="nl-NL"/>
        </w:rPr>
        <w:t>:</w:t>
      </w:r>
    </w:p>
    <w:p w14:paraId="2FD455D5" w14:textId="140193EA" w:rsidR="00145759" w:rsidRPr="00367071" w:rsidRDefault="00145759" w:rsidP="00726F72">
      <w:pPr>
        <w:tabs>
          <w:tab w:val="left" w:pos="851"/>
        </w:tabs>
        <w:spacing w:before="120" w:line="264" w:lineRule="auto"/>
        <w:ind w:firstLine="567"/>
        <w:jc w:val="both"/>
        <w:rPr>
          <w:rFonts w:asciiTheme="majorHAnsi" w:hAnsiTheme="majorHAnsi" w:cstheme="majorHAnsi"/>
          <w:i/>
          <w:iCs/>
          <w:sz w:val="28"/>
          <w:szCs w:val="28"/>
          <w:lang w:val="nl-NL"/>
        </w:rPr>
      </w:pPr>
      <w:r w:rsidRPr="00367071">
        <w:rPr>
          <w:rFonts w:asciiTheme="majorHAnsi" w:hAnsiTheme="majorHAnsi" w:cstheme="majorHAnsi"/>
          <w:i/>
          <w:iCs/>
          <w:sz w:val="28"/>
          <w:szCs w:val="28"/>
          <w:lang w:val="nl-NL"/>
        </w:rPr>
        <w:t>“Xây dựng và nâng cao chất lượng nguồn nhân lực, nhất là đội ngũ lãnh đạo, quản lý, chuyên gia trong các cơ quan, tổ chức kinh tế nhà nước, bảo đảm thu nhập tương xứng, phù hợp với thị trường lao động. Có chính sách hiệu quả nhằm thu hút và trọng dụng nhân tài gắn với tiêu chuẩn năng lực, đạo đức nghề nghiệp, hiệu quả thực hiện nhiệm vụ.”</w:t>
      </w:r>
    </w:p>
    <w:p w14:paraId="23BF9B3A" w14:textId="20659CA1" w:rsidR="006A665D" w:rsidRPr="00367071" w:rsidRDefault="006A665D" w:rsidP="00726F72">
      <w:pPr>
        <w:pStyle w:val="ListParagraph"/>
        <w:numPr>
          <w:ilvl w:val="0"/>
          <w:numId w:val="49"/>
        </w:numPr>
        <w:tabs>
          <w:tab w:val="left" w:pos="851"/>
        </w:tabs>
        <w:spacing w:before="120" w:after="0" w:line="264" w:lineRule="auto"/>
        <w:ind w:left="0" w:firstLine="567"/>
        <w:jc w:val="both"/>
        <w:rPr>
          <w:rFonts w:asciiTheme="majorHAnsi" w:hAnsiTheme="majorHAnsi" w:cstheme="majorHAnsi"/>
          <w:b/>
          <w:bCs/>
          <w:szCs w:val="28"/>
          <w:lang w:val="nl-NL"/>
        </w:rPr>
      </w:pPr>
      <w:r w:rsidRPr="00367071">
        <w:rPr>
          <w:rFonts w:asciiTheme="majorHAnsi" w:hAnsiTheme="majorHAnsi" w:cstheme="majorHAnsi"/>
          <w:b/>
          <w:bCs/>
          <w:szCs w:val="28"/>
          <w:lang w:val="nl-NL"/>
        </w:rPr>
        <w:t>Định hướng phát triển của Tập đoàn giai đoạn 2026-2030.</w:t>
      </w:r>
    </w:p>
    <w:p w14:paraId="7ADBBDBA" w14:textId="1C09EED9" w:rsidR="007850AB" w:rsidRPr="00367071" w:rsidRDefault="00662D1A" w:rsidP="00726F72">
      <w:pPr>
        <w:tabs>
          <w:tab w:val="left" w:pos="851"/>
        </w:tabs>
        <w:spacing w:before="120" w:line="264" w:lineRule="auto"/>
        <w:ind w:firstLine="567"/>
        <w:jc w:val="both"/>
        <w:rPr>
          <w:rFonts w:asciiTheme="majorHAnsi" w:hAnsiTheme="majorHAnsi" w:cstheme="majorHAnsi"/>
          <w:sz w:val="28"/>
          <w:szCs w:val="28"/>
          <w:lang w:val="nl-NL"/>
        </w:rPr>
      </w:pPr>
      <w:r w:rsidRPr="00367071">
        <w:rPr>
          <w:rFonts w:asciiTheme="majorHAnsi" w:hAnsiTheme="majorHAnsi" w:cstheme="majorHAnsi"/>
          <w:sz w:val="28"/>
          <w:szCs w:val="28"/>
          <w:lang w:val="nl-NL"/>
        </w:rPr>
        <w:t xml:space="preserve">Nghị quyết Đại hội đại biểu Đảng bộ Tập đoàn Điện lực Việt Nam lần thứ IV, nhiệm </w:t>
      </w:r>
      <w:r w:rsidR="007850AB" w:rsidRPr="00367071">
        <w:rPr>
          <w:rFonts w:asciiTheme="majorHAnsi" w:hAnsiTheme="majorHAnsi" w:cstheme="majorHAnsi"/>
          <w:sz w:val="28"/>
          <w:szCs w:val="28"/>
          <w:lang w:val="nl-NL"/>
        </w:rPr>
        <w:t>kỳ 2025-2030</w:t>
      </w:r>
      <w:r w:rsidRPr="00367071">
        <w:rPr>
          <w:rFonts w:asciiTheme="majorHAnsi" w:hAnsiTheme="majorHAnsi" w:cstheme="majorHAnsi"/>
          <w:sz w:val="28"/>
          <w:szCs w:val="28"/>
          <w:lang w:val="nl-NL"/>
        </w:rPr>
        <w:t xml:space="preserve"> đề ra định hướng phát triển của Tập đoàn giai đoạn 2026-2030</w:t>
      </w:r>
      <w:r w:rsidR="00B20888" w:rsidRPr="00367071">
        <w:rPr>
          <w:rFonts w:asciiTheme="majorHAnsi" w:hAnsiTheme="majorHAnsi" w:cstheme="majorHAnsi"/>
          <w:sz w:val="28"/>
          <w:szCs w:val="28"/>
          <w:lang w:val="nl-NL"/>
        </w:rPr>
        <w:t>, tóm tắt các nội dung liên quan</w:t>
      </w:r>
      <w:r w:rsidRPr="00367071">
        <w:rPr>
          <w:rFonts w:asciiTheme="majorHAnsi" w:hAnsiTheme="majorHAnsi" w:cstheme="majorHAnsi"/>
          <w:sz w:val="28"/>
          <w:szCs w:val="28"/>
          <w:lang w:val="nl-NL"/>
        </w:rPr>
        <w:t xml:space="preserve"> như sau:</w:t>
      </w:r>
    </w:p>
    <w:p w14:paraId="30FD7346" w14:textId="0C1D32BF" w:rsidR="00B20888" w:rsidRPr="00367071" w:rsidRDefault="00B20888" w:rsidP="00726F72">
      <w:pPr>
        <w:spacing w:before="120" w:line="264" w:lineRule="auto"/>
        <w:ind w:firstLine="567"/>
        <w:jc w:val="both"/>
        <w:rPr>
          <w:rFonts w:asciiTheme="majorHAnsi" w:hAnsiTheme="majorHAnsi" w:cstheme="majorHAnsi"/>
          <w:b/>
          <w:bCs/>
          <w:i/>
          <w:iCs/>
          <w:sz w:val="28"/>
          <w:szCs w:val="28"/>
          <w:lang w:val="nl-NL"/>
        </w:rPr>
      </w:pPr>
      <w:r w:rsidRPr="00367071">
        <w:rPr>
          <w:rFonts w:asciiTheme="majorHAnsi" w:hAnsiTheme="majorHAnsi" w:cstheme="majorHAnsi"/>
          <w:b/>
          <w:bCs/>
          <w:i/>
          <w:iCs/>
          <w:sz w:val="28"/>
          <w:szCs w:val="28"/>
          <w:lang w:val="nl-NL"/>
        </w:rPr>
        <w:lastRenderedPageBreak/>
        <w:t>Mục tiêu cụ thể:</w:t>
      </w:r>
    </w:p>
    <w:p w14:paraId="063C1E93"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 Xây dựng Tập đoàn Điện lực Việt Nam trở thành Tập đoàn kinh tế mạnh, có nền quản trị hiện đại, sản xuất kinh doanh có hiệu quả, bảo toàn và phát triển vốn nhà nước.</w:t>
      </w:r>
    </w:p>
    <w:p w14:paraId="4B6D8E38"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(ii) Giữ vững vai trò trụ cột đảm bảo an ninh cung ứng điện và an ninh năng lượng quốc gia. Thực hiện các công trình lớn, mang tính xoay chuyển đối với ngành năng lượng của đất nước. Thực hiện chuyển đổi xanh, bền vững.</w:t>
      </w:r>
    </w:p>
    <w:p w14:paraId="44F5E99D"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(iii) Trở thành Tập đoàn có công nghệ hiện đại, chuyển đổi số toàn diện, cung cấp dịch vụ điện cho khách hàng với chất lượng ngày càng cao, lấy sự hài lòng của khách hàng làm trọng tâm.</w:t>
      </w:r>
    </w:p>
    <w:p w14:paraId="290FFBC3" w14:textId="77777777" w:rsidR="00B20888" w:rsidRPr="00367071" w:rsidRDefault="00B20888" w:rsidP="00726F72">
      <w:pPr>
        <w:widowControl w:val="0"/>
        <w:spacing w:before="120"/>
        <w:ind w:firstLine="567"/>
        <w:jc w:val="both"/>
        <w:rPr>
          <w:rFonts w:asciiTheme="majorHAnsi" w:eastAsia="Calibri" w:hAnsiTheme="majorHAnsi" w:cstheme="majorHAnsi"/>
          <w:sz w:val="28"/>
          <w:szCs w:val="28"/>
          <w:lang w:val="nl-NL"/>
          <w14:ligatures w14:val="standardContextual"/>
        </w:rPr>
      </w:pPr>
      <w:r w:rsidRPr="00367071">
        <w:rPr>
          <w:rFonts w:asciiTheme="majorHAnsi" w:eastAsia="Calibri" w:hAnsiTheme="majorHAnsi" w:cstheme="majorHAnsi"/>
          <w:sz w:val="28"/>
          <w:szCs w:val="28"/>
          <w:lang w:val="nl-NL"/>
          <w14:ligatures w14:val="standardContextual"/>
        </w:rPr>
        <w:t>(iv) Các chỉ tiêu kinh tế, kỹ thuật, độ tin cậy cung cấp điện, chỉ số tiếp cận điện năng nằm trong tốp 3 ASEAN.</w:t>
      </w:r>
    </w:p>
    <w:p w14:paraId="0E4C0579" w14:textId="7B353D8F" w:rsidR="00B20888" w:rsidRPr="0043515C" w:rsidRDefault="00B20888" w:rsidP="00726F72">
      <w:pPr>
        <w:widowControl w:val="0"/>
        <w:spacing w:before="120"/>
        <w:ind w:firstLine="567"/>
        <w:jc w:val="both"/>
        <w:rPr>
          <w:rFonts w:asciiTheme="majorHAnsi" w:hAnsiTheme="majorHAnsi" w:cstheme="majorHAnsi"/>
          <w:b/>
          <w:bCs/>
          <w:i/>
          <w:iCs/>
          <w:sz w:val="28"/>
          <w:szCs w:val="28"/>
          <w:lang w:val="vi-VN"/>
        </w:rPr>
      </w:pPr>
      <w:r w:rsidRPr="00367071">
        <w:rPr>
          <w:rFonts w:asciiTheme="majorHAnsi" w:hAnsiTheme="majorHAnsi" w:cstheme="majorHAnsi"/>
          <w:b/>
          <w:bCs/>
          <w:i/>
          <w:iCs/>
          <w:sz w:val="28"/>
          <w:szCs w:val="28"/>
          <w:lang w:val="nl-NL"/>
        </w:rPr>
        <w:t>C</w:t>
      </w:r>
      <w:r w:rsidRPr="0043515C">
        <w:rPr>
          <w:rFonts w:asciiTheme="majorHAnsi" w:hAnsiTheme="majorHAnsi" w:cstheme="majorHAnsi"/>
          <w:b/>
          <w:bCs/>
          <w:i/>
          <w:iCs/>
          <w:sz w:val="28"/>
          <w:szCs w:val="28"/>
          <w:lang w:val="vi-VN"/>
        </w:rPr>
        <w:t>ác giải pháp chủ yếu lãnh đạo thực hiện nhiệm vụ chính trị</w:t>
      </w:r>
      <w:r w:rsidRPr="00367071">
        <w:rPr>
          <w:rFonts w:asciiTheme="majorHAnsi" w:hAnsiTheme="majorHAnsi" w:cstheme="majorHAnsi"/>
          <w:b/>
          <w:bCs/>
          <w:i/>
          <w:iCs/>
          <w:sz w:val="28"/>
          <w:szCs w:val="28"/>
          <w:lang w:val="nl-NL"/>
        </w:rPr>
        <w:t>:</w:t>
      </w:r>
    </w:p>
    <w:p w14:paraId="556456F1" w14:textId="77777777" w:rsidR="00B20888" w:rsidRPr="00367071" w:rsidRDefault="00B20888" w:rsidP="00726F72">
      <w:pPr>
        <w:widowControl w:val="0"/>
        <w:spacing w:before="120"/>
        <w:ind w:firstLine="567"/>
        <w:jc w:val="both"/>
        <w:rPr>
          <w:rFonts w:asciiTheme="majorHAnsi" w:hAnsiTheme="majorHAnsi" w:cstheme="majorHAnsi"/>
          <w:sz w:val="28"/>
          <w:szCs w:val="28"/>
          <w:lang w:val="vi-VN"/>
        </w:rPr>
      </w:pPr>
      <w:r w:rsidRPr="0043515C">
        <w:rPr>
          <w:rFonts w:asciiTheme="majorHAnsi" w:hAnsiTheme="majorHAnsi" w:cstheme="majorHAnsi"/>
          <w:sz w:val="28"/>
          <w:szCs w:val="28"/>
          <w:lang w:val="vi-VN"/>
        </w:rPr>
        <w:t>(1) Lãnh đạo bảo đảm cung ứng điện an toàn, liên tục và ổn định cho nền kinh tế và đời sống nhân dân</w:t>
      </w:r>
      <w:r w:rsidRPr="00367071">
        <w:rPr>
          <w:rFonts w:asciiTheme="majorHAnsi" w:hAnsiTheme="majorHAnsi" w:cstheme="majorHAnsi"/>
          <w:sz w:val="28"/>
          <w:szCs w:val="28"/>
          <w:lang w:val="vi-VN"/>
        </w:rPr>
        <w:t>.</w:t>
      </w:r>
    </w:p>
    <w:p w14:paraId="05684C19" w14:textId="77777777" w:rsidR="00B20888" w:rsidRPr="0043515C" w:rsidRDefault="00B20888" w:rsidP="00726F72">
      <w:pPr>
        <w:widowControl w:val="0"/>
        <w:spacing w:before="120"/>
        <w:ind w:firstLine="567"/>
        <w:jc w:val="both"/>
        <w:rPr>
          <w:rFonts w:asciiTheme="majorHAnsi" w:eastAsia="Batang" w:hAnsiTheme="majorHAnsi" w:cstheme="majorHAnsi"/>
          <w:sz w:val="28"/>
          <w:szCs w:val="28"/>
          <w:lang w:val="vi-VN"/>
        </w:rPr>
      </w:pPr>
      <w:r w:rsidRPr="0043515C">
        <w:rPr>
          <w:rFonts w:asciiTheme="majorHAnsi" w:eastAsia="Batang" w:hAnsiTheme="majorHAnsi" w:cstheme="majorHAnsi"/>
          <w:sz w:val="28"/>
          <w:szCs w:val="28"/>
          <w:lang w:val="vi-VN"/>
        </w:rPr>
        <w:t xml:space="preserve">(2) Lãnh đạo </w:t>
      </w:r>
      <w:r w:rsidRPr="00367071">
        <w:rPr>
          <w:rFonts w:asciiTheme="majorHAnsi" w:eastAsia="Batang" w:hAnsiTheme="majorHAnsi" w:cstheme="majorHAnsi"/>
          <w:sz w:val="28"/>
          <w:szCs w:val="28"/>
          <w:lang w:val="vi-VN"/>
        </w:rPr>
        <w:t>t</w:t>
      </w:r>
      <w:r w:rsidRPr="0043515C">
        <w:rPr>
          <w:rFonts w:asciiTheme="majorHAnsi" w:eastAsia="Batang" w:hAnsiTheme="majorHAnsi" w:cstheme="majorHAnsi"/>
          <w:sz w:val="28"/>
          <w:szCs w:val="28"/>
          <w:lang w:val="vi-VN"/>
        </w:rPr>
        <w:t>ăng tốc đầu tư xây dựng nguồn điện và lưới điện truyền tải, phân phối đồng bộ.</w:t>
      </w:r>
    </w:p>
    <w:p w14:paraId="0D3C07D1" w14:textId="77777777" w:rsidR="00B20888" w:rsidRPr="0043515C" w:rsidRDefault="00B20888" w:rsidP="00726F72">
      <w:pPr>
        <w:widowControl w:val="0"/>
        <w:spacing w:before="120"/>
        <w:ind w:firstLine="567"/>
        <w:jc w:val="both"/>
        <w:rPr>
          <w:rFonts w:asciiTheme="majorHAnsi" w:hAnsiTheme="majorHAnsi" w:cstheme="majorHAnsi"/>
          <w:noProof/>
          <w:sz w:val="28"/>
          <w:szCs w:val="28"/>
          <w:lang w:val="vi-VN"/>
        </w:rPr>
      </w:pPr>
      <w:bookmarkStart w:id="3" w:name="_Hlk33629918"/>
      <w:bookmarkStart w:id="4" w:name="_Toc21963055"/>
      <w:r w:rsidRPr="0043515C">
        <w:rPr>
          <w:rFonts w:asciiTheme="majorHAnsi" w:hAnsiTheme="majorHAnsi" w:cstheme="majorHAnsi"/>
          <w:noProof/>
          <w:sz w:val="28"/>
          <w:szCs w:val="28"/>
          <w:lang w:val="vi-VN"/>
        </w:rPr>
        <w:t>(</w:t>
      </w:r>
      <w:r w:rsidRPr="0043515C">
        <w:rPr>
          <w:rFonts w:asciiTheme="majorHAnsi" w:hAnsiTheme="majorHAnsi" w:cstheme="majorHAnsi"/>
          <w:noProof/>
          <w:sz w:val="28"/>
          <w:szCs w:val="28"/>
          <w:lang w:val="nl-NL"/>
        </w:rPr>
        <w:t>3</w:t>
      </w:r>
      <w:r w:rsidRPr="0043515C">
        <w:rPr>
          <w:rFonts w:asciiTheme="majorHAnsi" w:hAnsiTheme="majorHAnsi" w:cstheme="majorHAnsi"/>
          <w:noProof/>
          <w:sz w:val="28"/>
          <w:szCs w:val="28"/>
          <w:lang w:val="vi-VN"/>
        </w:rPr>
        <w:t>)</w:t>
      </w:r>
      <w:r w:rsidRPr="0043515C">
        <w:rPr>
          <w:rFonts w:asciiTheme="majorHAnsi" w:hAnsiTheme="majorHAnsi" w:cstheme="majorHAnsi"/>
          <w:noProof/>
          <w:sz w:val="28"/>
          <w:szCs w:val="28"/>
          <w:lang w:val="nl-NL"/>
        </w:rPr>
        <w:t xml:space="preserve"> Quản trị doanh nghiệp minh bạch, hiệu năng, hiệu lực, hiệu quả; tiếp tục sắp xếp, tinh gọn tổ chức bộ máy, tập trung hoàn thiện thể chế quản lý nội bộ, phân cấp, phân quyền tối đa, triệt để</w:t>
      </w:r>
      <w:r w:rsidRPr="0043515C">
        <w:rPr>
          <w:rFonts w:asciiTheme="majorHAnsi" w:hAnsiTheme="majorHAnsi" w:cstheme="majorHAnsi"/>
          <w:noProof/>
          <w:sz w:val="28"/>
          <w:szCs w:val="28"/>
          <w:lang w:val="vi-VN"/>
        </w:rPr>
        <w:t>.</w:t>
      </w:r>
    </w:p>
    <w:p w14:paraId="5304A142" w14:textId="77777777" w:rsidR="00B20888" w:rsidRPr="0043515C" w:rsidRDefault="00B20888" w:rsidP="00726F72">
      <w:pPr>
        <w:widowControl w:val="0"/>
        <w:spacing w:before="120"/>
        <w:ind w:firstLine="567"/>
        <w:jc w:val="both"/>
        <w:rPr>
          <w:rFonts w:asciiTheme="majorHAnsi" w:hAnsiTheme="majorHAnsi" w:cstheme="majorHAnsi"/>
          <w:iCs/>
          <w:noProof/>
          <w:sz w:val="28"/>
          <w:szCs w:val="28"/>
          <w:lang w:val="vi-VN"/>
        </w:rPr>
      </w:pPr>
      <w:r w:rsidRPr="0043515C">
        <w:rPr>
          <w:rFonts w:asciiTheme="majorHAnsi" w:hAnsiTheme="majorHAnsi" w:cstheme="majorHAnsi"/>
          <w:iCs/>
          <w:noProof/>
          <w:sz w:val="28"/>
          <w:szCs w:val="28"/>
          <w:lang w:val="vi-VN"/>
        </w:rPr>
        <w:t>(</w:t>
      </w:r>
      <w:r w:rsidRPr="0043515C">
        <w:rPr>
          <w:rFonts w:asciiTheme="majorHAnsi" w:hAnsiTheme="majorHAnsi" w:cstheme="majorHAnsi"/>
          <w:iCs/>
          <w:noProof/>
          <w:sz w:val="28"/>
          <w:szCs w:val="28"/>
          <w:lang w:val="nl-NL"/>
        </w:rPr>
        <w:t>4</w:t>
      </w:r>
      <w:r w:rsidRPr="0043515C">
        <w:rPr>
          <w:rFonts w:asciiTheme="majorHAnsi" w:hAnsiTheme="majorHAnsi" w:cstheme="majorHAnsi"/>
          <w:iCs/>
          <w:noProof/>
          <w:sz w:val="28"/>
          <w:szCs w:val="28"/>
          <w:lang w:val="vi-VN"/>
        </w:rPr>
        <w:t>)</w:t>
      </w:r>
      <w:r w:rsidRPr="0043515C">
        <w:rPr>
          <w:rFonts w:asciiTheme="majorHAnsi" w:hAnsiTheme="majorHAnsi" w:cstheme="majorHAnsi"/>
          <w:iCs/>
          <w:noProof/>
          <w:sz w:val="28"/>
          <w:szCs w:val="28"/>
          <w:lang w:val="nl-NL"/>
        </w:rPr>
        <w:t xml:space="preserve"> Nâng cao chất lượng nguồn nhân lực, đáp ứng yêu cầu phát triển</w:t>
      </w:r>
      <w:r w:rsidRPr="0043515C">
        <w:rPr>
          <w:rFonts w:asciiTheme="majorHAnsi" w:hAnsiTheme="majorHAnsi" w:cstheme="majorHAnsi"/>
          <w:iCs/>
          <w:noProof/>
          <w:sz w:val="28"/>
          <w:szCs w:val="28"/>
          <w:lang w:val="vi-VN"/>
        </w:rPr>
        <w:t>.</w:t>
      </w:r>
    </w:p>
    <w:p w14:paraId="73AB53FD" w14:textId="77777777" w:rsidR="00B20888" w:rsidRPr="0043515C" w:rsidRDefault="00B20888" w:rsidP="00726F72">
      <w:pPr>
        <w:widowControl w:val="0"/>
        <w:spacing w:before="120"/>
        <w:ind w:firstLine="567"/>
        <w:jc w:val="both"/>
        <w:rPr>
          <w:rFonts w:asciiTheme="majorHAnsi" w:hAnsiTheme="majorHAnsi" w:cstheme="majorHAnsi"/>
          <w:noProof/>
          <w:sz w:val="28"/>
          <w:szCs w:val="28"/>
          <w:lang w:val="vi-VN"/>
        </w:rPr>
      </w:pPr>
      <w:r w:rsidRPr="0043515C">
        <w:rPr>
          <w:rFonts w:asciiTheme="majorHAnsi" w:hAnsiTheme="majorHAnsi" w:cstheme="majorHAnsi"/>
          <w:iCs/>
          <w:sz w:val="28"/>
          <w:szCs w:val="28"/>
          <w:lang w:val="vi-VN"/>
        </w:rPr>
        <w:t>(</w:t>
      </w:r>
      <w:r w:rsidRPr="0043515C">
        <w:rPr>
          <w:rFonts w:asciiTheme="majorHAnsi" w:hAnsiTheme="majorHAnsi" w:cstheme="majorHAnsi"/>
          <w:noProof/>
          <w:sz w:val="28"/>
          <w:szCs w:val="28"/>
          <w:lang w:val="nl-NL"/>
        </w:rPr>
        <w:t>5</w:t>
      </w:r>
      <w:r w:rsidRPr="0043515C">
        <w:rPr>
          <w:rFonts w:asciiTheme="majorHAnsi" w:hAnsiTheme="majorHAnsi" w:cstheme="majorHAnsi"/>
          <w:noProof/>
          <w:sz w:val="28"/>
          <w:szCs w:val="28"/>
          <w:lang w:val="vi-VN"/>
        </w:rPr>
        <w:t>)</w:t>
      </w:r>
      <w:r w:rsidRPr="0043515C">
        <w:rPr>
          <w:rFonts w:asciiTheme="majorHAnsi" w:hAnsiTheme="majorHAnsi" w:cstheme="majorHAnsi"/>
          <w:noProof/>
          <w:sz w:val="28"/>
          <w:szCs w:val="28"/>
          <w:lang w:val="nl-NL"/>
        </w:rPr>
        <w:t xml:space="preserve"> Đột phá phát triển khoa học công nghệ, đổi mới sáng tạo, chuyển đổi số</w:t>
      </w:r>
      <w:r w:rsidRPr="0043515C">
        <w:rPr>
          <w:rFonts w:asciiTheme="majorHAnsi" w:hAnsiTheme="majorHAnsi" w:cstheme="majorHAnsi"/>
          <w:noProof/>
          <w:sz w:val="28"/>
          <w:szCs w:val="28"/>
          <w:lang w:val="vi-VN"/>
        </w:rPr>
        <w:t>.</w:t>
      </w:r>
    </w:p>
    <w:p w14:paraId="0EC20A26" w14:textId="77777777" w:rsidR="00B20888" w:rsidRPr="00367071" w:rsidRDefault="00B20888" w:rsidP="00726F72">
      <w:pPr>
        <w:widowControl w:val="0"/>
        <w:spacing w:before="120"/>
        <w:ind w:firstLine="567"/>
        <w:jc w:val="both"/>
        <w:rPr>
          <w:rFonts w:asciiTheme="majorHAnsi" w:hAnsiTheme="majorHAnsi" w:cstheme="majorHAnsi"/>
          <w:iCs/>
          <w:noProof/>
          <w:sz w:val="28"/>
          <w:szCs w:val="28"/>
          <w:lang w:val="vi-VN"/>
        </w:rPr>
      </w:pPr>
      <w:r w:rsidRPr="0043515C">
        <w:rPr>
          <w:rFonts w:asciiTheme="majorHAnsi" w:hAnsiTheme="majorHAnsi" w:cstheme="majorHAnsi"/>
          <w:sz w:val="28"/>
          <w:szCs w:val="28"/>
          <w:lang w:val="vi-VN"/>
        </w:rPr>
        <w:t xml:space="preserve">(6) </w:t>
      </w:r>
      <w:r w:rsidRPr="0043515C">
        <w:rPr>
          <w:rFonts w:asciiTheme="majorHAnsi" w:hAnsiTheme="majorHAnsi" w:cstheme="majorHAnsi"/>
          <w:iCs/>
          <w:noProof/>
          <w:sz w:val="28"/>
          <w:szCs w:val="28"/>
          <w:lang w:val="vi-VN"/>
        </w:rPr>
        <w:t>Đẩy mạnh phòng, chống tham nhũng, lãng phí, tiêu cực</w:t>
      </w:r>
      <w:r w:rsidRPr="00367071">
        <w:rPr>
          <w:rFonts w:asciiTheme="majorHAnsi" w:hAnsiTheme="majorHAnsi" w:cstheme="majorHAnsi"/>
          <w:iCs/>
          <w:noProof/>
          <w:sz w:val="28"/>
          <w:szCs w:val="28"/>
          <w:lang w:val="vi-VN"/>
        </w:rPr>
        <w:t>; triệt để</w:t>
      </w:r>
      <w:r w:rsidRPr="0043515C">
        <w:rPr>
          <w:rFonts w:asciiTheme="majorHAnsi" w:hAnsiTheme="majorHAnsi" w:cstheme="majorHAnsi"/>
          <w:iCs/>
          <w:noProof/>
          <w:sz w:val="28"/>
          <w:szCs w:val="28"/>
          <w:lang w:val="vi-VN"/>
        </w:rPr>
        <w:t xml:space="preserve"> tiết kiệm chi phí</w:t>
      </w:r>
      <w:r w:rsidRPr="00367071">
        <w:rPr>
          <w:rFonts w:asciiTheme="majorHAnsi" w:hAnsiTheme="majorHAnsi" w:cstheme="majorHAnsi"/>
          <w:iCs/>
          <w:noProof/>
          <w:sz w:val="28"/>
          <w:szCs w:val="28"/>
          <w:lang w:val="vi-VN"/>
        </w:rPr>
        <w:t>.</w:t>
      </w:r>
    </w:p>
    <w:p w14:paraId="450C0362" w14:textId="77777777" w:rsidR="00B20888" w:rsidRPr="0032187D" w:rsidRDefault="00B20888" w:rsidP="00726F72">
      <w:pPr>
        <w:widowControl w:val="0"/>
        <w:spacing w:before="120"/>
        <w:ind w:firstLine="567"/>
        <w:jc w:val="both"/>
        <w:rPr>
          <w:rFonts w:asciiTheme="majorHAnsi" w:eastAsia="Batang" w:hAnsiTheme="majorHAnsi" w:cstheme="majorHAnsi"/>
          <w:spacing w:val="-2"/>
          <w:sz w:val="28"/>
          <w:szCs w:val="28"/>
          <w:lang w:val="vi-VN"/>
        </w:rPr>
      </w:pPr>
      <w:r w:rsidRPr="0032187D">
        <w:rPr>
          <w:rFonts w:asciiTheme="majorHAnsi" w:hAnsiTheme="majorHAnsi" w:cstheme="majorHAnsi"/>
          <w:spacing w:val="-2"/>
          <w:sz w:val="28"/>
          <w:szCs w:val="28"/>
          <w:lang w:val="vi-VN"/>
        </w:rPr>
        <w:t xml:space="preserve">(7) Tiếp tục đổi mới công tác kinh doanh và nâng cao chất lượng </w:t>
      </w:r>
      <w:r w:rsidRPr="0032187D">
        <w:rPr>
          <w:rFonts w:asciiTheme="majorHAnsi" w:eastAsia="Batang" w:hAnsiTheme="majorHAnsi" w:cstheme="majorHAnsi"/>
          <w:spacing w:val="-2"/>
          <w:sz w:val="28"/>
          <w:szCs w:val="28"/>
          <w:lang w:val="vi-VN"/>
        </w:rPr>
        <w:t>dịch vụ khách hàng</w:t>
      </w:r>
      <w:bookmarkEnd w:id="4"/>
      <w:r w:rsidRPr="0032187D">
        <w:rPr>
          <w:rFonts w:asciiTheme="majorHAnsi" w:eastAsia="Batang" w:hAnsiTheme="majorHAnsi" w:cstheme="majorHAnsi"/>
          <w:spacing w:val="-2"/>
          <w:sz w:val="28"/>
          <w:szCs w:val="28"/>
          <w:lang w:val="vi-VN"/>
        </w:rPr>
        <w:t>.</w:t>
      </w:r>
    </w:p>
    <w:p w14:paraId="78EAAD8D" w14:textId="2051D0B6" w:rsidR="00B20888" w:rsidRPr="0043515C" w:rsidRDefault="00B20888" w:rsidP="00726F72">
      <w:pPr>
        <w:widowControl w:val="0"/>
        <w:spacing w:before="120"/>
        <w:ind w:firstLine="567"/>
        <w:jc w:val="both"/>
        <w:rPr>
          <w:rFonts w:asciiTheme="majorHAnsi" w:hAnsiTheme="majorHAnsi" w:cstheme="majorHAnsi"/>
          <w:b/>
          <w:bCs/>
          <w:i/>
          <w:iCs/>
          <w:sz w:val="28"/>
          <w:szCs w:val="28"/>
          <w:lang w:val="vi-VN"/>
        </w:rPr>
      </w:pPr>
      <w:r w:rsidRPr="00367071">
        <w:rPr>
          <w:rFonts w:asciiTheme="majorHAnsi" w:hAnsiTheme="majorHAnsi" w:cstheme="majorHAnsi"/>
          <w:b/>
          <w:bCs/>
          <w:i/>
          <w:iCs/>
          <w:sz w:val="28"/>
          <w:szCs w:val="28"/>
          <w:lang w:val="vi-VN"/>
        </w:rPr>
        <w:t>T</w:t>
      </w:r>
      <w:r w:rsidRPr="0043515C">
        <w:rPr>
          <w:rFonts w:asciiTheme="majorHAnsi" w:hAnsiTheme="majorHAnsi" w:cstheme="majorHAnsi"/>
          <w:b/>
          <w:bCs/>
          <w:i/>
          <w:iCs/>
          <w:sz w:val="28"/>
          <w:szCs w:val="28"/>
          <w:lang w:val="vi-VN"/>
        </w:rPr>
        <w:t>rong đó tập trung vào 03 khâu đột phá:</w:t>
      </w:r>
      <w:bookmarkStart w:id="5" w:name="_Hlk188480780"/>
    </w:p>
    <w:bookmarkEnd w:id="5"/>
    <w:p w14:paraId="5E10EA17" w14:textId="77777777" w:rsidR="00B20888" w:rsidRPr="00367071" w:rsidRDefault="00B20888" w:rsidP="00726F72">
      <w:pPr>
        <w:widowControl w:val="0"/>
        <w:spacing w:before="120"/>
        <w:ind w:firstLine="567"/>
        <w:jc w:val="both"/>
        <w:rPr>
          <w:rFonts w:asciiTheme="majorHAnsi" w:hAnsiTheme="majorHAnsi" w:cstheme="majorHAnsi"/>
          <w:sz w:val="28"/>
          <w:szCs w:val="28"/>
          <w:lang w:val="vi-VN"/>
        </w:rPr>
      </w:pPr>
      <w:r w:rsidRPr="00367071">
        <w:rPr>
          <w:rFonts w:asciiTheme="majorHAnsi" w:hAnsiTheme="majorHAnsi" w:cstheme="majorHAnsi"/>
          <w:sz w:val="28"/>
          <w:szCs w:val="28"/>
          <w:lang w:val="vi-VN"/>
        </w:rPr>
        <w:t xml:space="preserve">(1) Nâng cao năng lực lãnh đạo, chỉ đạo của cấp uỷ Đảng; Quản trị doanh nghiệp minh bạch, tinh gọn, hiệu năng, hiệu lực, hiệu quả. </w:t>
      </w:r>
    </w:p>
    <w:p w14:paraId="49F1558A" w14:textId="77777777" w:rsidR="00B20888" w:rsidRPr="00367071" w:rsidRDefault="00B20888" w:rsidP="00726F72">
      <w:pPr>
        <w:widowControl w:val="0"/>
        <w:spacing w:before="120"/>
        <w:ind w:firstLine="567"/>
        <w:jc w:val="both"/>
        <w:rPr>
          <w:rFonts w:asciiTheme="majorHAnsi" w:hAnsiTheme="majorHAnsi" w:cstheme="majorHAnsi"/>
          <w:sz w:val="28"/>
          <w:szCs w:val="28"/>
          <w:lang w:val="vi-VN"/>
        </w:rPr>
      </w:pPr>
      <w:r w:rsidRPr="00367071">
        <w:rPr>
          <w:rFonts w:asciiTheme="majorHAnsi" w:hAnsiTheme="majorHAnsi" w:cstheme="majorHAnsi"/>
          <w:sz w:val="28"/>
          <w:szCs w:val="28"/>
          <w:lang w:val="vi-VN"/>
        </w:rPr>
        <w:t>(2) Tăng tốc đầu tư xây dựng nguồn và lưới điện.</w:t>
      </w:r>
    </w:p>
    <w:p w14:paraId="4A6B5929" w14:textId="77777777" w:rsidR="00B20888" w:rsidRPr="000E28E6" w:rsidRDefault="00B20888" w:rsidP="00726F72">
      <w:pPr>
        <w:widowControl w:val="0"/>
        <w:spacing w:before="120"/>
        <w:ind w:firstLine="567"/>
        <w:jc w:val="both"/>
        <w:rPr>
          <w:rFonts w:asciiTheme="majorHAnsi" w:hAnsiTheme="majorHAnsi" w:cstheme="majorHAnsi"/>
          <w:spacing w:val="-2"/>
          <w:sz w:val="28"/>
          <w:szCs w:val="28"/>
          <w:lang w:val="vi-VN"/>
        </w:rPr>
      </w:pPr>
      <w:r w:rsidRPr="000E28E6">
        <w:rPr>
          <w:rFonts w:asciiTheme="majorHAnsi" w:hAnsiTheme="majorHAnsi" w:cstheme="majorHAnsi"/>
          <w:spacing w:val="-2"/>
          <w:sz w:val="28"/>
          <w:szCs w:val="28"/>
          <w:lang w:val="vi-VN"/>
        </w:rPr>
        <w:t>(3) Đột phá phát triển khoa học công nghệ, đổi mới sáng tạo và chuyển đổi số.</w:t>
      </w:r>
    </w:p>
    <w:bookmarkEnd w:id="3"/>
    <w:p w14:paraId="63FAE0D0" w14:textId="567B26C0" w:rsidR="0082700C" w:rsidRPr="00367071" w:rsidRDefault="0082700C" w:rsidP="00726F72">
      <w:pPr>
        <w:pStyle w:val="ListParagraph"/>
        <w:numPr>
          <w:ilvl w:val="0"/>
          <w:numId w:val="49"/>
        </w:numPr>
        <w:tabs>
          <w:tab w:val="left" w:pos="851"/>
        </w:tabs>
        <w:spacing w:before="120" w:after="0" w:line="240" w:lineRule="auto"/>
        <w:ind w:left="0" w:firstLine="567"/>
        <w:jc w:val="both"/>
        <w:rPr>
          <w:rFonts w:asciiTheme="majorHAnsi" w:hAnsiTheme="majorHAnsi" w:cstheme="majorHAnsi"/>
          <w:b/>
          <w:bCs/>
          <w:szCs w:val="28"/>
          <w:lang w:val="vi-VN"/>
        </w:rPr>
      </w:pPr>
      <w:r w:rsidRPr="00367071">
        <w:rPr>
          <w:rFonts w:asciiTheme="majorHAnsi" w:hAnsiTheme="majorHAnsi" w:cstheme="majorHAnsi"/>
          <w:b/>
          <w:bCs/>
          <w:szCs w:val="28"/>
          <w:lang w:val="vi-VN"/>
        </w:rPr>
        <w:t>Định hướng và giải pháp nâng cao chất lượng nguồn nhân lực đáp ứng yêu cầu của Đảng, Chính phủ và yêu cầu phát triển của EVN</w:t>
      </w:r>
    </w:p>
    <w:p w14:paraId="19F3C407" w14:textId="180E2E10" w:rsidR="00EE2529" w:rsidRPr="0043515C" w:rsidRDefault="00EE2529" w:rsidP="00726F72">
      <w:pPr>
        <w:pStyle w:val="ListParagraph"/>
        <w:numPr>
          <w:ilvl w:val="1"/>
          <w:numId w:val="3"/>
        </w:numPr>
        <w:tabs>
          <w:tab w:val="left" w:pos="851"/>
        </w:tabs>
        <w:spacing w:before="120" w:after="0" w:line="240" w:lineRule="auto"/>
        <w:ind w:left="0" w:firstLine="567"/>
        <w:jc w:val="both"/>
        <w:rPr>
          <w:rFonts w:asciiTheme="majorHAnsi" w:hAnsiTheme="majorHAnsi" w:cstheme="majorHAnsi"/>
          <w:b/>
          <w:bCs/>
          <w:iCs/>
          <w:szCs w:val="28"/>
        </w:rPr>
      </w:pPr>
      <w:r w:rsidRPr="0043515C">
        <w:rPr>
          <w:rFonts w:asciiTheme="majorHAnsi" w:hAnsiTheme="majorHAnsi" w:cstheme="majorHAnsi"/>
          <w:b/>
          <w:bCs/>
          <w:iCs/>
          <w:szCs w:val="28"/>
        </w:rPr>
        <w:t>Mục tiêu</w:t>
      </w:r>
    </w:p>
    <w:p w14:paraId="37B3F7C4" w14:textId="77777777" w:rsidR="00EE2529" w:rsidRPr="0032187D" w:rsidRDefault="00EE2529" w:rsidP="00726F72">
      <w:pPr>
        <w:tabs>
          <w:tab w:val="left" w:pos="851"/>
        </w:tabs>
        <w:spacing w:before="120" w:line="264" w:lineRule="auto"/>
        <w:ind w:firstLine="567"/>
        <w:jc w:val="both"/>
        <w:rPr>
          <w:rFonts w:asciiTheme="majorHAnsi" w:hAnsiTheme="majorHAnsi" w:cstheme="majorHAnsi"/>
          <w:spacing w:val="-4"/>
          <w:sz w:val="28"/>
          <w:szCs w:val="28"/>
        </w:rPr>
      </w:pPr>
      <w:r w:rsidRPr="0032187D">
        <w:rPr>
          <w:rFonts w:asciiTheme="majorHAnsi" w:hAnsiTheme="majorHAnsi" w:cstheme="majorHAnsi"/>
          <w:spacing w:val="-4"/>
          <w:sz w:val="28"/>
          <w:szCs w:val="28"/>
        </w:rPr>
        <w:t xml:space="preserve">Phát triển nguồn nhân lực </w:t>
      </w:r>
      <w:r w:rsidRPr="0032187D">
        <w:rPr>
          <w:rFonts w:asciiTheme="majorHAnsi" w:hAnsiTheme="majorHAnsi" w:cstheme="majorHAnsi"/>
          <w:b/>
          <w:bCs/>
          <w:i/>
          <w:iCs/>
          <w:spacing w:val="-4"/>
          <w:sz w:val="28"/>
          <w:szCs w:val="28"/>
        </w:rPr>
        <w:t>chất lượng cao, có năng lực chuyên môn, kỹ năng số và tư duy đổi mới</w:t>
      </w:r>
      <w:r w:rsidRPr="0032187D">
        <w:rPr>
          <w:rFonts w:asciiTheme="majorHAnsi" w:hAnsiTheme="majorHAnsi" w:cstheme="majorHAnsi"/>
          <w:i/>
          <w:iCs/>
          <w:spacing w:val="-4"/>
          <w:sz w:val="28"/>
          <w:szCs w:val="28"/>
        </w:rPr>
        <w:t>,</w:t>
      </w:r>
      <w:r w:rsidRPr="0032187D">
        <w:rPr>
          <w:rFonts w:asciiTheme="majorHAnsi" w:hAnsiTheme="majorHAnsi" w:cstheme="majorHAnsi"/>
          <w:spacing w:val="-4"/>
          <w:sz w:val="28"/>
          <w:szCs w:val="28"/>
        </w:rPr>
        <w:t xml:space="preserve"> đáp ứng yêu cầu </w:t>
      </w:r>
      <w:r w:rsidRPr="0032187D">
        <w:rPr>
          <w:rFonts w:asciiTheme="majorHAnsi" w:hAnsiTheme="majorHAnsi" w:cstheme="majorHAnsi"/>
          <w:b/>
          <w:bCs/>
          <w:i/>
          <w:iCs/>
          <w:spacing w:val="-4"/>
          <w:sz w:val="28"/>
          <w:szCs w:val="28"/>
        </w:rPr>
        <w:t>chuyển đổi số, phát triển khoa học – công nghệ, bảo đảm an ninh năng lượng quốc gia</w:t>
      </w:r>
      <w:r w:rsidRPr="0032187D">
        <w:rPr>
          <w:rFonts w:asciiTheme="majorHAnsi" w:hAnsiTheme="majorHAnsi" w:cstheme="majorHAnsi"/>
          <w:spacing w:val="-4"/>
          <w:sz w:val="28"/>
          <w:szCs w:val="28"/>
        </w:rPr>
        <w:t xml:space="preserve"> và nâng cao </w:t>
      </w:r>
      <w:r w:rsidRPr="0032187D">
        <w:rPr>
          <w:rFonts w:asciiTheme="majorHAnsi" w:hAnsiTheme="majorHAnsi" w:cstheme="majorHAnsi"/>
          <w:b/>
          <w:bCs/>
          <w:i/>
          <w:iCs/>
          <w:spacing w:val="-4"/>
          <w:sz w:val="28"/>
          <w:szCs w:val="28"/>
        </w:rPr>
        <w:t>năng lực quản trị, sức cạnh tranh</w:t>
      </w:r>
      <w:r w:rsidRPr="0032187D">
        <w:rPr>
          <w:rFonts w:asciiTheme="majorHAnsi" w:hAnsiTheme="majorHAnsi" w:cstheme="majorHAnsi"/>
          <w:spacing w:val="-4"/>
          <w:sz w:val="28"/>
          <w:szCs w:val="28"/>
        </w:rPr>
        <w:t xml:space="preserve"> </w:t>
      </w:r>
      <w:r w:rsidRPr="0032187D">
        <w:rPr>
          <w:rFonts w:asciiTheme="majorHAnsi" w:hAnsiTheme="majorHAnsi" w:cstheme="majorHAnsi"/>
          <w:spacing w:val="-4"/>
          <w:sz w:val="28"/>
          <w:szCs w:val="28"/>
        </w:rPr>
        <w:lastRenderedPageBreak/>
        <w:t xml:space="preserve">của Tập đoàn; trong đó chú trọng </w:t>
      </w:r>
      <w:r w:rsidRPr="0032187D">
        <w:rPr>
          <w:rFonts w:asciiTheme="majorHAnsi" w:hAnsiTheme="majorHAnsi" w:cstheme="majorHAnsi"/>
          <w:b/>
          <w:bCs/>
          <w:spacing w:val="-4"/>
          <w:sz w:val="28"/>
          <w:szCs w:val="28"/>
        </w:rPr>
        <w:t>gắn đào tạo với thực tiễn,</w:t>
      </w:r>
      <w:r w:rsidRPr="0032187D">
        <w:rPr>
          <w:rFonts w:asciiTheme="majorHAnsi" w:hAnsiTheme="majorHAnsi" w:cstheme="majorHAnsi"/>
          <w:spacing w:val="-4"/>
          <w:sz w:val="28"/>
          <w:szCs w:val="28"/>
        </w:rPr>
        <w:t xml:space="preserve"> phát triển đội ngũ chuyên gia, cán bộ quản lý trong các lĩnh vực then chốt, góp phần xây dựng EVN trở thành tập đoàn kinh tế nhà nước mạnh, hiện đại, hội nhập khu vực và quốc tế.</w:t>
      </w:r>
    </w:p>
    <w:p w14:paraId="0E34EF06" w14:textId="38CEE8B4" w:rsidR="00EE2529" w:rsidRPr="0043515C" w:rsidRDefault="0082700C" w:rsidP="00726F72">
      <w:pPr>
        <w:pStyle w:val="ListParagraph"/>
        <w:numPr>
          <w:ilvl w:val="1"/>
          <w:numId w:val="3"/>
        </w:numPr>
        <w:tabs>
          <w:tab w:val="left" w:pos="851"/>
        </w:tabs>
        <w:spacing w:before="120" w:after="0" w:line="264" w:lineRule="auto"/>
        <w:ind w:left="0" w:firstLine="567"/>
        <w:jc w:val="both"/>
        <w:rPr>
          <w:rFonts w:asciiTheme="majorHAnsi" w:hAnsiTheme="majorHAnsi" w:cstheme="majorHAnsi"/>
          <w:b/>
          <w:bCs/>
          <w:iCs/>
          <w:szCs w:val="28"/>
        </w:rPr>
      </w:pPr>
      <w:r w:rsidRPr="0043515C">
        <w:rPr>
          <w:rFonts w:asciiTheme="majorHAnsi" w:hAnsiTheme="majorHAnsi" w:cstheme="majorHAnsi"/>
          <w:b/>
          <w:bCs/>
          <w:iCs/>
          <w:szCs w:val="28"/>
        </w:rPr>
        <w:t>Nhiệm vụ và giải pháp</w:t>
      </w:r>
    </w:p>
    <w:p w14:paraId="1FC28456" w14:textId="3E7DF845" w:rsidR="00EE2529" w:rsidRPr="0043515C" w:rsidRDefault="00CF03AC" w:rsidP="00726F72">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(i)</w:t>
      </w:r>
      <w:r w:rsidR="00EE2529" w:rsidRPr="0043515C">
        <w:rPr>
          <w:rFonts w:asciiTheme="majorHAnsi" w:hAnsiTheme="majorHAnsi" w:cstheme="majorHAnsi"/>
          <w:b/>
          <w:bCs/>
          <w:i/>
          <w:sz w:val="28"/>
          <w:szCs w:val="28"/>
        </w:rPr>
        <w:t xml:space="preserve"> Phát triển đội ngũ nhân lực chất lượng cao trong các lĩnh vực kỹ thuật</w:t>
      </w:r>
      <w:r w:rsidRPr="0043515C">
        <w:rPr>
          <w:rFonts w:asciiTheme="majorHAnsi" w:hAnsiTheme="majorHAnsi" w:cstheme="majorHAnsi"/>
          <w:b/>
          <w:bCs/>
          <w:i/>
          <w:sz w:val="28"/>
          <w:szCs w:val="28"/>
        </w:rPr>
        <w:t xml:space="preserve"> và chuyên môn</w:t>
      </w:r>
      <w:r w:rsidR="00EE2529" w:rsidRPr="0043515C">
        <w:rPr>
          <w:rFonts w:asciiTheme="majorHAnsi" w:hAnsiTheme="majorHAnsi" w:cstheme="majorHAnsi"/>
          <w:b/>
          <w:bCs/>
          <w:i/>
          <w:sz w:val="28"/>
          <w:szCs w:val="28"/>
        </w:rPr>
        <w:t xml:space="preserve"> then chốt</w:t>
      </w:r>
      <w:r w:rsidR="003B2697" w:rsidRPr="0043515C">
        <w:rPr>
          <w:rFonts w:asciiTheme="majorHAnsi" w:hAnsiTheme="majorHAnsi" w:cstheme="majorHAnsi"/>
          <w:b/>
          <w:bCs/>
          <w:i/>
          <w:sz w:val="28"/>
          <w:szCs w:val="28"/>
        </w:rPr>
        <w:t xml:space="preserve"> để xây dựng lực lượng chủ chốt có khả năng dẫn dắt và triển khai các hoạt động nghiên cứu khoa học, đổi mới sáng tạo và chuyển đổi số</w:t>
      </w:r>
    </w:p>
    <w:p w14:paraId="47F69A3B" w14:textId="5539256F" w:rsidR="00EE2529" w:rsidRPr="0043515C" w:rsidRDefault="00DA5E4C" w:rsidP="00726F72">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w:t>
      </w:r>
      <w:r w:rsidR="00EE2529" w:rsidRPr="0043515C">
        <w:rPr>
          <w:rFonts w:asciiTheme="majorHAnsi" w:hAnsiTheme="majorHAnsi" w:cstheme="majorHAnsi"/>
          <w:sz w:val="28"/>
          <w:szCs w:val="28"/>
        </w:rPr>
        <w:t xml:space="preserve"> Đào tạo KSTN: trong giai đoạn 2025-2030 đào tạo được 20 KSTN</w:t>
      </w:r>
      <w:r w:rsidR="00CF03AC" w:rsidRPr="0043515C">
        <w:rPr>
          <w:rFonts w:asciiTheme="majorHAnsi" w:hAnsiTheme="majorHAnsi" w:cstheme="majorHAnsi"/>
          <w:sz w:val="28"/>
          <w:szCs w:val="28"/>
        </w:rPr>
        <w:t xml:space="preserve"> tại nước ngoài</w:t>
      </w:r>
      <w:r w:rsidR="00EE2529" w:rsidRPr="0043515C">
        <w:rPr>
          <w:rFonts w:asciiTheme="majorHAnsi" w:hAnsiTheme="majorHAnsi" w:cstheme="majorHAnsi"/>
          <w:sz w:val="28"/>
          <w:szCs w:val="28"/>
        </w:rPr>
        <w:t xml:space="preserve"> các lĩnh vực chủ chốt của EVN</w:t>
      </w:r>
      <w:r w:rsidRPr="0043515C">
        <w:rPr>
          <w:rFonts w:asciiTheme="majorHAnsi" w:hAnsiTheme="majorHAnsi" w:cstheme="majorHAnsi"/>
          <w:sz w:val="28"/>
          <w:szCs w:val="28"/>
        </w:rPr>
        <w:t xml:space="preserve"> như </w:t>
      </w:r>
      <w:r w:rsidRPr="0043515C">
        <w:rPr>
          <w:rFonts w:asciiTheme="majorHAnsi" w:hAnsiTheme="majorHAnsi" w:cstheme="majorHAnsi"/>
          <w:iCs/>
          <w:sz w:val="28"/>
          <w:szCs w:val="28"/>
        </w:rPr>
        <w:t>điện hạt nhân, năng lượng mới, hệ thống điện hiện đại, công nghệ thông tin…</w:t>
      </w:r>
      <w:r w:rsidR="00EE2529" w:rsidRPr="0043515C">
        <w:rPr>
          <w:rFonts w:asciiTheme="majorHAnsi" w:hAnsiTheme="majorHAnsi" w:cstheme="majorHAnsi"/>
          <w:sz w:val="28"/>
          <w:szCs w:val="28"/>
        </w:rPr>
        <w:t>, tạo nguồn nhân sự trẻ để phát triển chuyên gia kỹ thuật giai đoạn tiếp theo.</w:t>
      </w:r>
    </w:p>
    <w:p w14:paraId="0BA61EE6" w14:textId="1370C78B" w:rsidR="00DA5E4C" w:rsidRPr="0043515C" w:rsidRDefault="00DA5E4C" w:rsidP="00726F72">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 Tiếp tục triển khai các chương trình đào tạo sau đại học tại nước ngoài, tập trung vào các lĩnh vực công nghệ, kỹ thuật, chuyên môn trọng yếu của EVN.</w:t>
      </w:r>
    </w:p>
    <w:p w14:paraId="06170777" w14:textId="74279525" w:rsidR="00EE2529" w:rsidRDefault="00DA5E4C" w:rsidP="00726F72">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w:t>
      </w:r>
      <w:r w:rsidR="00EE2529" w:rsidRPr="0043515C">
        <w:rPr>
          <w:rFonts w:asciiTheme="majorHAnsi" w:hAnsiTheme="majorHAnsi" w:cstheme="majorHAnsi"/>
          <w:sz w:val="28"/>
          <w:szCs w:val="28"/>
        </w:rPr>
        <w:t xml:space="preserve"> Tổ chức đào tạo liên tục để nâng cao trình độ đội ngũ chuyên gia của EVN trong các lĩnh vực quản lý và kỹ thuật then chốt</w:t>
      </w:r>
      <w:r w:rsidRPr="0043515C">
        <w:rPr>
          <w:rFonts w:asciiTheme="majorHAnsi" w:hAnsiTheme="majorHAnsi" w:cstheme="majorHAnsi"/>
          <w:sz w:val="28"/>
          <w:szCs w:val="28"/>
        </w:rPr>
        <w:t>. Các lĩnh vực được lựa trong giai đoạn 2026-2030</w:t>
      </w:r>
      <w:r w:rsidR="00354D53" w:rsidRPr="0043515C">
        <w:rPr>
          <w:rFonts w:asciiTheme="majorHAnsi" w:hAnsiTheme="majorHAnsi" w:cstheme="majorHAnsi"/>
          <w:sz w:val="28"/>
          <w:szCs w:val="28"/>
        </w:rPr>
        <w:t xml:space="preserve"> dự kiến như sau</w:t>
      </w:r>
      <w:r w:rsidR="00354D53" w:rsidRPr="0043515C">
        <w:rPr>
          <w:rStyle w:val="FootnoteReference"/>
          <w:rFonts w:asciiTheme="majorHAnsi" w:hAnsiTheme="majorHAnsi" w:cstheme="majorHAnsi"/>
          <w:sz w:val="28"/>
          <w:szCs w:val="28"/>
        </w:rPr>
        <w:footnoteReference w:id="6"/>
      </w:r>
      <w:r w:rsidR="00EE2529" w:rsidRPr="0043515C">
        <w:rPr>
          <w:rFonts w:asciiTheme="majorHAnsi" w:hAnsiTheme="majorHAnsi" w:cstheme="majorHAnsi"/>
          <w:sz w:val="28"/>
          <w:szCs w:val="28"/>
        </w:rPr>
        <w:t>:</w:t>
      </w:r>
    </w:p>
    <w:p w14:paraId="632BD295" w14:textId="6512381F" w:rsidR="0043515C" w:rsidRPr="0043515C" w:rsidRDefault="0043515C" w:rsidP="00726F72">
      <w:pPr>
        <w:tabs>
          <w:tab w:val="left" w:pos="851"/>
        </w:tabs>
        <w:spacing w:before="120" w:after="120" w:line="264" w:lineRule="auto"/>
        <w:ind w:firstLine="567"/>
        <w:jc w:val="both"/>
        <w:rPr>
          <w:rFonts w:asciiTheme="majorHAnsi" w:hAnsiTheme="majorHAnsi" w:cstheme="majorHAnsi"/>
          <w:sz w:val="28"/>
          <w:szCs w:val="28"/>
        </w:rPr>
      </w:pPr>
      <w:r w:rsidRPr="0043515C">
        <w:rPr>
          <w:rFonts w:asciiTheme="majorHAnsi" w:hAnsiTheme="majorHAnsi" w:cstheme="majorHAnsi"/>
          <w:b/>
          <w:bCs/>
          <w:sz w:val="28"/>
          <w:szCs w:val="28"/>
        </w:rPr>
        <w:t>Bảng 5.</w:t>
      </w:r>
      <w:r>
        <w:rPr>
          <w:rFonts w:asciiTheme="majorHAnsi" w:hAnsiTheme="majorHAnsi" w:cstheme="majorHAnsi"/>
          <w:sz w:val="28"/>
          <w:szCs w:val="28"/>
        </w:rPr>
        <w:t xml:space="preserve"> Các lĩnh vực chuyên gia dự kiến phát triển giai đoạn 2026-2030</w:t>
      </w:r>
    </w:p>
    <w:tbl>
      <w:tblPr>
        <w:tblW w:w="5000" w:type="pct"/>
        <w:tblLook w:val="04A0" w:firstRow="1" w:lastRow="0" w:firstColumn="1" w:lastColumn="0" w:noHBand="0" w:noVBand="1"/>
      </w:tblPr>
      <w:tblGrid>
        <w:gridCol w:w="746"/>
        <w:gridCol w:w="2226"/>
        <w:gridCol w:w="6373"/>
      </w:tblGrid>
      <w:tr w:rsidR="00FB7D2A" w14:paraId="4F8321BE" w14:textId="77777777" w:rsidTr="001C04AA">
        <w:trPr>
          <w:trHeight w:val="653"/>
          <w:tblHeader/>
        </w:trPr>
        <w:tc>
          <w:tcPr>
            <w:tcW w:w="399" w:type="pct"/>
            <w:tcBorders>
              <w:top w:val="single" w:sz="4" w:space="0" w:color="auto"/>
              <w:left w:val="single" w:sz="4" w:space="0" w:color="auto"/>
              <w:bottom w:val="single" w:sz="4" w:space="0" w:color="auto"/>
              <w:right w:val="single" w:sz="4" w:space="0" w:color="auto"/>
            </w:tcBorders>
            <w:vAlign w:val="center"/>
            <w:hideMark/>
          </w:tcPr>
          <w:p w14:paraId="2B06CD79" w14:textId="77777777" w:rsidR="00FB7D2A" w:rsidRDefault="00FB7D2A" w:rsidP="009E7724">
            <w:pPr>
              <w:spacing w:before="80"/>
              <w:jc w:val="center"/>
              <w:rPr>
                <w:b/>
                <w:bCs/>
                <w:color w:val="000000"/>
                <w:sz w:val="28"/>
                <w:szCs w:val="28"/>
              </w:rPr>
            </w:pPr>
            <w:r>
              <w:rPr>
                <w:b/>
                <w:bCs/>
                <w:color w:val="000000"/>
                <w:sz w:val="28"/>
                <w:szCs w:val="28"/>
              </w:rPr>
              <w:t>STT</w:t>
            </w:r>
          </w:p>
        </w:tc>
        <w:tc>
          <w:tcPr>
            <w:tcW w:w="1191" w:type="pct"/>
            <w:tcBorders>
              <w:top w:val="single" w:sz="4" w:space="0" w:color="auto"/>
              <w:left w:val="nil"/>
              <w:bottom w:val="single" w:sz="4" w:space="0" w:color="auto"/>
              <w:right w:val="single" w:sz="4" w:space="0" w:color="auto"/>
            </w:tcBorders>
            <w:vAlign w:val="center"/>
            <w:hideMark/>
          </w:tcPr>
          <w:p w14:paraId="3F0567FC" w14:textId="77777777" w:rsidR="00FB7D2A" w:rsidRDefault="00FB7D2A" w:rsidP="009E7724">
            <w:pPr>
              <w:spacing w:before="80"/>
              <w:jc w:val="center"/>
              <w:rPr>
                <w:b/>
                <w:bCs/>
                <w:color w:val="000000"/>
                <w:sz w:val="28"/>
                <w:szCs w:val="28"/>
              </w:rPr>
            </w:pPr>
            <w:r>
              <w:rPr>
                <w:b/>
                <w:bCs/>
                <w:color w:val="000000"/>
                <w:sz w:val="28"/>
                <w:szCs w:val="28"/>
              </w:rPr>
              <w:t>Lĩnh vực</w:t>
            </w:r>
          </w:p>
        </w:tc>
        <w:tc>
          <w:tcPr>
            <w:tcW w:w="3410" w:type="pct"/>
            <w:tcBorders>
              <w:top w:val="single" w:sz="4" w:space="0" w:color="auto"/>
              <w:left w:val="nil"/>
              <w:bottom w:val="single" w:sz="4" w:space="0" w:color="auto"/>
              <w:right w:val="single" w:sz="4" w:space="0" w:color="auto"/>
            </w:tcBorders>
            <w:vAlign w:val="center"/>
            <w:hideMark/>
          </w:tcPr>
          <w:p w14:paraId="4D72FDE5" w14:textId="77777777" w:rsidR="00FB7D2A" w:rsidRDefault="00FB7D2A" w:rsidP="009E7724">
            <w:pPr>
              <w:spacing w:before="80"/>
              <w:jc w:val="center"/>
              <w:rPr>
                <w:b/>
                <w:bCs/>
                <w:color w:val="000000"/>
                <w:sz w:val="28"/>
                <w:szCs w:val="28"/>
              </w:rPr>
            </w:pPr>
            <w:r>
              <w:rPr>
                <w:b/>
                <w:bCs/>
                <w:color w:val="000000"/>
                <w:sz w:val="28"/>
                <w:szCs w:val="28"/>
              </w:rPr>
              <w:t>Tên vị trí</w:t>
            </w:r>
          </w:p>
        </w:tc>
      </w:tr>
      <w:tr w:rsidR="00FB7D2A" w14:paraId="4960D5D4"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74B250E9" w14:textId="77777777" w:rsidR="00FB7D2A" w:rsidRDefault="00FB7D2A" w:rsidP="009E7724">
            <w:pPr>
              <w:spacing w:before="80"/>
              <w:jc w:val="center"/>
              <w:rPr>
                <w:color w:val="000000"/>
                <w:sz w:val="28"/>
                <w:szCs w:val="28"/>
              </w:rPr>
            </w:pPr>
            <w:r>
              <w:rPr>
                <w:color w:val="000000"/>
                <w:sz w:val="28"/>
                <w:szCs w:val="28"/>
              </w:rPr>
              <w:t>1</w:t>
            </w:r>
          </w:p>
        </w:tc>
        <w:tc>
          <w:tcPr>
            <w:tcW w:w="1191" w:type="pct"/>
            <w:tcBorders>
              <w:top w:val="nil"/>
              <w:left w:val="nil"/>
              <w:bottom w:val="single" w:sz="4" w:space="0" w:color="auto"/>
              <w:right w:val="single" w:sz="4" w:space="0" w:color="auto"/>
            </w:tcBorders>
            <w:vAlign w:val="center"/>
            <w:hideMark/>
          </w:tcPr>
          <w:p w14:paraId="77D6E125" w14:textId="77777777" w:rsidR="00FB7D2A" w:rsidRDefault="00FB7D2A" w:rsidP="009E7724">
            <w:pPr>
              <w:spacing w:before="80"/>
              <w:jc w:val="both"/>
              <w:rPr>
                <w:color w:val="000000"/>
                <w:sz w:val="28"/>
                <w:szCs w:val="28"/>
              </w:rPr>
            </w:pPr>
            <w:r>
              <w:rPr>
                <w:color w:val="000000"/>
                <w:sz w:val="28"/>
                <w:szCs w:val="28"/>
                <w:lang w:val="vi-VN"/>
              </w:rPr>
              <w:t>Thiết bị điện</w:t>
            </w:r>
          </w:p>
        </w:tc>
        <w:tc>
          <w:tcPr>
            <w:tcW w:w="3410" w:type="pct"/>
            <w:tcBorders>
              <w:top w:val="nil"/>
              <w:left w:val="nil"/>
              <w:bottom w:val="single" w:sz="4" w:space="0" w:color="auto"/>
              <w:right w:val="single" w:sz="4" w:space="0" w:color="auto"/>
            </w:tcBorders>
            <w:vAlign w:val="center"/>
            <w:hideMark/>
          </w:tcPr>
          <w:p w14:paraId="098834DE" w14:textId="77777777" w:rsidR="00FB7D2A" w:rsidRDefault="00FB7D2A" w:rsidP="009E7724">
            <w:pPr>
              <w:spacing w:before="80"/>
              <w:jc w:val="both"/>
              <w:rPr>
                <w:color w:val="000000"/>
                <w:sz w:val="28"/>
                <w:szCs w:val="28"/>
              </w:rPr>
            </w:pPr>
            <w:r>
              <w:rPr>
                <w:color w:val="000000"/>
                <w:sz w:val="28"/>
                <w:szCs w:val="28"/>
              </w:rPr>
              <w:t>Chuyên gia thiết bị lưới điện</w:t>
            </w:r>
          </w:p>
        </w:tc>
      </w:tr>
      <w:tr w:rsidR="00FB7D2A" w14:paraId="683239D3"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22F8142A" w14:textId="77777777" w:rsidR="00FB7D2A" w:rsidRDefault="00FB7D2A" w:rsidP="009E7724">
            <w:pPr>
              <w:spacing w:before="80"/>
              <w:jc w:val="center"/>
              <w:rPr>
                <w:color w:val="000000"/>
                <w:sz w:val="28"/>
                <w:szCs w:val="28"/>
              </w:rPr>
            </w:pPr>
            <w:r>
              <w:rPr>
                <w:color w:val="000000"/>
                <w:sz w:val="28"/>
                <w:szCs w:val="28"/>
              </w:rPr>
              <w:t>2</w:t>
            </w:r>
          </w:p>
        </w:tc>
        <w:tc>
          <w:tcPr>
            <w:tcW w:w="1191" w:type="pct"/>
            <w:tcBorders>
              <w:top w:val="nil"/>
              <w:left w:val="nil"/>
              <w:bottom w:val="single" w:sz="4" w:space="0" w:color="auto"/>
              <w:right w:val="single" w:sz="4" w:space="0" w:color="auto"/>
            </w:tcBorders>
            <w:vAlign w:val="center"/>
            <w:hideMark/>
          </w:tcPr>
          <w:p w14:paraId="222A432F" w14:textId="77777777" w:rsidR="00FB7D2A" w:rsidRDefault="00FB7D2A" w:rsidP="009E7724">
            <w:pPr>
              <w:spacing w:before="80"/>
              <w:jc w:val="both"/>
              <w:rPr>
                <w:color w:val="000000"/>
                <w:sz w:val="28"/>
                <w:szCs w:val="28"/>
              </w:rPr>
            </w:pPr>
            <w:r>
              <w:rPr>
                <w:color w:val="000000"/>
                <w:sz w:val="28"/>
                <w:szCs w:val="28"/>
                <w:lang w:val="vi-VN"/>
              </w:rPr>
              <w:t>Quản lý tài sản, bảo dưỡng sửa chữa</w:t>
            </w:r>
          </w:p>
        </w:tc>
        <w:tc>
          <w:tcPr>
            <w:tcW w:w="3410" w:type="pct"/>
            <w:tcBorders>
              <w:top w:val="nil"/>
              <w:left w:val="nil"/>
              <w:bottom w:val="single" w:sz="4" w:space="0" w:color="auto"/>
              <w:right w:val="single" w:sz="4" w:space="0" w:color="auto"/>
            </w:tcBorders>
            <w:vAlign w:val="center"/>
            <w:hideMark/>
          </w:tcPr>
          <w:p w14:paraId="4A603731" w14:textId="77777777" w:rsidR="00FB7D2A" w:rsidRDefault="00FB7D2A" w:rsidP="009E7724">
            <w:pPr>
              <w:spacing w:before="80"/>
              <w:jc w:val="both"/>
              <w:rPr>
                <w:color w:val="000000"/>
                <w:sz w:val="28"/>
                <w:szCs w:val="28"/>
              </w:rPr>
            </w:pPr>
            <w:r>
              <w:rPr>
                <w:color w:val="000000"/>
                <w:sz w:val="28"/>
                <w:szCs w:val="28"/>
              </w:rPr>
              <w:t>Chuyên gia phân tích RCM</w:t>
            </w:r>
          </w:p>
        </w:tc>
      </w:tr>
      <w:tr w:rsidR="00FB7D2A" w14:paraId="3654CD89"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69E14A7D" w14:textId="77777777" w:rsidR="00FB7D2A" w:rsidRDefault="00FB7D2A" w:rsidP="009E7724">
            <w:pPr>
              <w:spacing w:before="80"/>
              <w:jc w:val="center"/>
              <w:rPr>
                <w:color w:val="000000"/>
                <w:sz w:val="28"/>
                <w:szCs w:val="28"/>
              </w:rPr>
            </w:pPr>
            <w:r>
              <w:rPr>
                <w:color w:val="000000"/>
                <w:sz w:val="28"/>
                <w:szCs w:val="28"/>
              </w:rPr>
              <w:t>3</w:t>
            </w:r>
          </w:p>
        </w:tc>
        <w:tc>
          <w:tcPr>
            <w:tcW w:w="1191" w:type="pct"/>
            <w:tcBorders>
              <w:top w:val="nil"/>
              <w:left w:val="nil"/>
              <w:bottom w:val="single" w:sz="4" w:space="0" w:color="auto"/>
              <w:right w:val="single" w:sz="4" w:space="0" w:color="auto"/>
            </w:tcBorders>
            <w:vAlign w:val="center"/>
            <w:hideMark/>
          </w:tcPr>
          <w:p w14:paraId="02F37A66" w14:textId="77777777" w:rsidR="00FB7D2A" w:rsidRDefault="00FB7D2A" w:rsidP="009E7724">
            <w:pPr>
              <w:spacing w:before="80"/>
              <w:jc w:val="both"/>
              <w:rPr>
                <w:color w:val="000000"/>
                <w:sz w:val="28"/>
                <w:szCs w:val="28"/>
              </w:rPr>
            </w:pPr>
            <w:r>
              <w:rPr>
                <w:color w:val="000000"/>
                <w:sz w:val="28"/>
                <w:szCs w:val="28"/>
                <w:lang w:val="vi-VN"/>
              </w:rPr>
              <w:t>Thử nghiệm chạy thử NMTĐ, NĐ</w:t>
            </w:r>
          </w:p>
        </w:tc>
        <w:tc>
          <w:tcPr>
            <w:tcW w:w="3410" w:type="pct"/>
            <w:tcBorders>
              <w:top w:val="nil"/>
              <w:left w:val="nil"/>
              <w:bottom w:val="single" w:sz="4" w:space="0" w:color="auto"/>
              <w:right w:val="single" w:sz="4" w:space="0" w:color="auto"/>
            </w:tcBorders>
            <w:vAlign w:val="center"/>
            <w:hideMark/>
          </w:tcPr>
          <w:p w14:paraId="51AB5E7D" w14:textId="77777777" w:rsidR="00FB7D2A" w:rsidRDefault="00FB7D2A" w:rsidP="009E7724">
            <w:pPr>
              <w:spacing w:before="80"/>
              <w:jc w:val="both"/>
              <w:rPr>
                <w:color w:val="000000"/>
                <w:sz w:val="28"/>
                <w:szCs w:val="28"/>
              </w:rPr>
            </w:pPr>
            <w:r>
              <w:rPr>
                <w:color w:val="000000"/>
                <w:sz w:val="28"/>
                <w:szCs w:val="28"/>
              </w:rPr>
              <w:t>Chuyên gia Commissioning NMĐ</w:t>
            </w:r>
          </w:p>
        </w:tc>
      </w:tr>
      <w:tr w:rsidR="00FB7D2A" w14:paraId="60A9623B"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6E5DCF5E" w14:textId="77777777" w:rsidR="00FB7D2A" w:rsidRDefault="00FB7D2A" w:rsidP="009E7724">
            <w:pPr>
              <w:spacing w:before="80"/>
              <w:jc w:val="center"/>
              <w:rPr>
                <w:color w:val="000000"/>
                <w:sz w:val="28"/>
                <w:szCs w:val="28"/>
              </w:rPr>
            </w:pPr>
            <w:r>
              <w:rPr>
                <w:color w:val="000000"/>
                <w:sz w:val="28"/>
                <w:szCs w:val="28"/>
                <w:lang w:val="vi-VN"/>
              </w:rPr>
              <w:t>4</w:t>
            </w:r>
          </w:p>
        </w:tc>
        <w:tc>
          <w:tcPr>
            <w:tcW w:w="1191" w:type="pct"/>
            <w:tcBorders>
              <w:top w:val="nil"/>
              <w:left w:val="nil"/>
              <w:bottom w:val="single" w:sz="4" w:space="0" w:color="auto"/>
              <w:right w:val="single" w:sz="4" w:space="0" w:color="auto"/>
            </w:tcBorders>
            <w:vAlign w:val="center"/>
            <w:hideMark/>
          </w:tcPr>
          <w:p w14:paraId="1FE937BF" w14:textId="77777777" w:rsidR="00FB7D2A" w:rsidRDefault="00FB7D2A" w:rsidP="009E7724">
            <w:pPr>
              <w:spacing w:before="80"/>
              <w:jc w:val="both"/>
              <w:rPr>
                <w:color w:val="000000"/>
                <w:sz w:val="28"/>
                <w:szCs w:val="28"/>
              </w:rPr>
            </w:pPr>
            <w:r>
              <w:rPr>
                <w:color w:val="000000"/>
                <w:sz w:val="28"/>
                <w:szCs w:val="28"/>
              </w:rPr>
              <w:t>Công nghệ mới</w:t>
            </w:r>
          </w:p>
        </w:tc>
        <w:tc>
          <w:tcPr>
            <w:tcW w:w="3410" w:type="pct"/>
            <w:tcBorders>
              <w:top w:val="nil"/>
              <w:left w:val="nil"/>
              <w:bottom w:val="single" w:sz="4" w:space="0" w:color="auto"/>
              <w:right w:val="single" w:sz="4" w:space="0" w:color="auto"/>
            </w:tcBorders>
            <w:vAlign w:val="center"/>
            <w:hideMark/>
          </w:tcPr>
          <w:p w14:paraId="510C51C2" w14:textId="77777777" w:rsidR="00FB7D2A" w:rsidRDefault="00FB7D2A" w:rsidP="009E7724">
            <w:pPr>
              <w:spacing w:before="80"/>
              <w:jc w:val="both"/>
              <w:rPr>
                <w:color w:val="000000"/>
                <w:sz w:val="28"/>
                <w:szCs w:val="28"/>
              </w:rPr>
            </w:pPr>
            <w:r>
              <w:rPr>
                <w:color w:val="000000"/>
                <w:sz w:val="28"/>
                <w:szCs w:val="28"/>
                <w:lang w:val="vi-VN"/>
              </w:rPr>
              <w:t>Chuyên gia quản lý vận hành, sửa chữa bảo dưỡng HDVC, Back to Back, Thiết bị linh hoạt như SVC, STATCOM...</w:t>
            </w:r>
          </w:p>
        </w:tc>
      </w:tr>
      <w:tr w:rsidR="00FB7D2A" w14:paraId="2CE9EDBD"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5D2A5AB5" w14:textId="77777777" w:rsidR="00FB7D2A" w:rsidRDefault="00FB7D2A" w:rsidP="009E7724">
            <w:pPr>
              <w:spacing w:before="80"/>
              <w:jc w:val="center"/>
              <w:rPr>
                <w:color w:val="000000"/>
                <w:sz w:val="28"/>
                <w:szCs w:val="28"/>
              </w:rPr>
            </w:pPr>
            <w:r>
              <w:rPr>
                <w:color w:val="000000"/>
                <w:sz w:val="28"/>
                <w:szCs w:val="28"/>
              </w:rPr>
              <w:t>5</w:t>
            </w:r>
          </w:p>
        </w:tc>
        <w:tc>
          <w:tcPr>
            <w:tcW w:w="1191" w:type="pct"/>
            <w:tcBorders>
              <w:top w:val="nil"/>
              <w:left w:val="nil"/>
              <w:bottom w:val="single" w:sz="4" w:space="0" w:color="auto"/>
              <w:right w:val="single" w:sz="4" w:space="0" w:color="auto"/>
            </w:tcBorders>
            <w:vAlign w:val="center"/>
            <w:hideMark/>
          </w:tcPr>
          <w:p w14:paraId="3CE6B376" w14:textId="77777777" w:rsidR="00FB7D2A" w:rsidRDefault="00FB7D2A" w:rsidP="009E7724">
            <w:pPr>
              <w:spacing w:before="80"/>
              <w:jc w:val="both"/>
              <w:rPr>
                <w:color w:val="000000"/>
                <w:sz w:val="28"/>
                <w:szCs w:val="28"/>
              </w:rPr>
            </w:pPr>
            <w:r>
              <w:rPr>
                <w:color w:val="000000"/>
                <w:sz w:val="28"/>
                <w:szCs w:val="28"/>
              </w:rPr>
              <w:t>Hiệu chỉnh NMNĐ than</w:t>
            </w:r>
          </w:p>
        </w:tc>
        <w:tc>
          <w:tcPr>
            <w:tcW w:w="3410" w:type="pct"/>
            <w:tcBorders>
              <w:top w:val="nil"/>
              <w:left w:val="nil"/>
              <w:bottom w:val="single" w:sz="4" w:space="0" w:color="auto"/>
              <w:right w:val="single" w:sz="4" w:space="0" w:color="auto"/>
            </w:tcBorders>
            <w:vAlign w:val="center"/>
            <w:hideMark/>
          </w:tcPr>
          <w:p w14:paraId="797F8A4F" w14:textId="77777777" w:rsidR="00FB7D2A" w:rsidRDefault="00FB7D2A" w:rsidP="009E7724">
            <w:pPr>
              <w:spacing w:before="80"/>
              <w:jc w:val="both"/>
              <w:rPr>
                <w:color w:val="000000"/>
                <w:sz w:val="28"/>
                <w:szCs w:val="28"/>
              </w:rPr>
            </w:pPr>
            <w:r>
              <w:rPr>
                <w:color w:val="000000"/>
                <w:sz w:val="28"/>
                <w:szCs w:val="28"/>
              </w:rPr>
              <w:t xml:space="preserve">Chuyên gia hiệu chỉnh lò hơi </w:t>
            </w:r>
          </w:p>
        </w:tc>
      </w:tr>
      <w:tr w:rsidR="00FB7D2A" w14:paraId="51D8BAB6"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25523B03" w14:textId="77777777" w:rsidR="00FB7D2A" w:rsidRDefault="00FB7D2A" w:rsidP="009E7724">
            <w:pPr>
              <w:spacing w:before="80"/>
              <w:jc w:val="center"/>
              <w:rPr>
                <w:color w:val="000000"/>
                <w:sz w:val="28"/>
                <w:szCs w:val="28"/>
              </w:rPr>
            </w:pPr>
            <w:r>
              <w:rPr>
                <w:color w:val="000000"/>
                <w:sz w:val="28"/>
                <w:szCs w:val="28"/>
              </w:rPr>
              <w:t>6</w:t>
            </w:r>
          </w:p>
        </w:tc>
        <w:tc>
          <w:tcPr>
            <w:tcW w:w="1191" w:type="pct"/>
            <w:tcBorders>
              <w:top w:val="nil"/>
              <w:left w:val="nil"/>
              <w:bottom w:val="single" w:sz="4" w:space="0" w:color="auto"/>
              <w:right w:val="single" w:sz="4" w:space="0" w:color="auto"/>
            </w:tcBorders>
            <w:vAlign w:val="center"/>
            <w:hideMark/>
          </w:tcPr>
          <w:p w14:paraId="5EAEA347" w14:textId="77777777" w:rsidR="00FB7D2A" w:rsidRDefault="00FB7D2A" w:rsidP="009E7724">
            <w:pPr>
              <w:spacing w:before="80"/>
              <w:jc w:val="both"/>
              <w:rPr>
                <w:color w:val="000000"/>
                <w:sz w:val="28"/>
                <w:szCs w:val="28"/>
              </w:rPr>
            </w:pPr>
            <w:r>
              <w:rPr>
                <w:color w:val="000000"/>
                <w:sz w:val="28"/>
                <w:szCs w:val="28"/>
              </w:rPr>
              <w:t>Công nghệ thông tin</w:t>
            </w:r>
          </w:p>
        </w:tc>
        <w:tc>
          <w:tcPr>
            <w:tcW w:w="3410" w:type="pct"/>
            <w:tcBorders>
              <w:top w:val="nil"/>
              <w:left w:val="nil"/>
              <w:bottom w:val="single" w:sz="4" w:space="0" w:color="auto"/>
              <w:right w:val="single" w:sz="4" w:space="0" w:color="auto"/>
            </w:tcBorders>
            <w:vAlign w:val="center"/>
            <w:hideMark/>
          </w:tcPr>
          <w:p w14:paraId="42D98BA0" w14:textId="77777777" w:rsidR="009E7724" w:rsidRDefault="00FB7D2A" w:rsidP="009E7724">
            <w:pPr>
              <w:spacing w:before="80"/>
              <w:jc w:val="both"/>
              <w:rPr>
                <w:color w:val="000000"/>
                <w:sz w:val="28"/>
                <w:szCs w:val="28"/>
              </w:rPr>
            </w:pPr>
            <w:r>
              <w:rPr>
                <w:color w:val="000000"/>
                <w:sz w:val="28"/>
                <w:szCs w:val="28"/>
              </w:rPr>
              <w:t>Chuyên gia Khai thác và phân tích dữ liệu các phần mềm dùng chung</w:t>
            </w:r>
          </w:p>
          <w:p w14:paraId="2C9A2EC5" w14:textId="77777777" w:rsidR="009E7724" w:rsidRDefault="00FB7D2A" w:rsidP="009E7724">
            <w:pPr>
              <w:spacing w:before="80"/>
              <w:jc w:val="both"/>
              <w:rPr>
                <w:color w:val="000000"/>
                <w:sz w:val="28"/>
                <w:szCs w:val="28"/>
              </w:rPr>
            </w:pPr>
            <w:r>
              <w:rPr>
                <w:color w:val="000000"/>
                <w:sz w:val="28"/>
                <w:szCs w:val="28"/>
              </w:rPr>
              <w:t xml:space="preserve">Chuyên gia </w:t>
            </w:r>
            <w:proofErr w:type="gramStart"/>
            <w:r>
              <w:rPr>
                <w:color w:val="000000"/>
                <w:sz w:val="28"/>
                <w:szCs w:val="28"/>
              </w:rPr>
              <w:t>An</w:t>
            </w:r>
            <w:proofErr w:type="gramEnd"/>
            <w:r>
              <w:rPr>
                <w:color w:val="000000"/>
                <w:sz w:val="28"/>
                <w:szCs w:val="28"/>
              </w:rPr>
              <w:t xml:space="preserve"> ninh hạ tầng công nghệ thông tin</w:t>
            </w:r>
          </w:p>
          <w:p w14:paraId="4CD23950" w14:textId="77777777" w:rsidR="009E7724" w:rsidRDefault="00FB7D2A" w:rsidP="009E7724">
            <w:pPr>
              <w:spacing w:before="80"/>
              <w:jc w:val="both"/>
              <w:rPr>
                <w:color w:val="000000"/>
                <w:sz w:val="28"/>
                <w:szCs w:val="28"/>
              </w:rPr>
            </w:pPr>
            <w:r>
              <w:rPr>
                <w:color w:val="000000"/>
                <w:sz w:val="28"/>
                <w:szCs w:val="28"/>
              </w:rPr>
              <w:t xml:space="preserve">Chuyên gia </w:t>
            </w:r>
            <w:proofErr w:type="gramStart"/>
            <w:r>
              <w:rPr>
                <w:color w:val="000000"/>
                <w:sz w:val="28"/>
                <w:szCs w:val="28"/>
              </w:rPr>
              <w:t>An</w:t>
            </w:r>
            <w:proofErr w:type="gramEnd"/>
            <w:r>
              <w:rPr>
                <w:color w:val="000000"/>
                <w:sz w:val="28"/>
                <w:szCs w:val="28"/>
              </w:rPr>
              <w:t xml:space="preserve"> ninh hệ thống công nghiệp</w:t>
            </w:r>
          </w:p>
          <w:p w14:paraId="2509C3F9" w14:textId="77777777" w:rsidR="009E7724" w:rsidRDefault="00FB7D2A" w:rsidP="009E7724">
            <w:pPr>
              <w:spacing w:before="80"/>
              <w:jc w:val="both"/>
              <w:rPr>
                <w:color w:val="000000"/>
                <w:sz w:val="28"/>
                <w:szCs w:val="28"/>
              </w:rPr>
            </w:pPr>
            <w:r>
              <w:rPr>
                <w:color w:val="000000"/>
                <w:sz w:val="28"/>
                <w:szCs w:val="28"/>
              </w:rPr>
              <w:t>Chuyên gia Giám sát và săn tìm mối nguy (CNTT)</w:t>
            </w:r>
          </w:p>
          <w:p w14:paraId="6CBAB5AE" w14:textId="319B11E1" w:rsidR="00FB7D2A" w:rsidRDefault="00FB7D2A" w:rsidP="001C04AA">
            <w:pPr>
              <w:spacing w:before="80"/>
              <w:jc w:val="both"/>
              <w:rPr>
                <w:color w:val="000000"/>
                <w:sz w:val="28"/>
                <w:szCs w:val="28"/>
              </w:rPr>
            </w:pPr>
            <w:r>
              <w:rPr>
                <w:color w:val="000000"/>
                <w:sz w:val="28"/>
                <w:szCs w:val="28"/>
              </w:rPr>
              <w:t>Chuyên gia Quản trị an toàn thông tin và tuân thủ</w:t>
            </w:r>
          </w:p>
        </w:tc>
      </w:tr>
      <w:tr w:rsidR="00FB7D2A" w14:paraId="008FE6AE" w14:textId="77777777" w:rsidTr="001C04AA">
        <w:trPr>
          <w:trHeight w:val="567"/>
        </w:trPr>
        <w:tc>
          <w:tcPr>
            <w:tcW w:w="399" w:type="pct"/>
            <w:vMerge w:val="restart"/>
            <w:tcBorders>
              <w:top w:val="nil"/>
              <w:left w:val="single" w:sz="4" w:space="0" w:color="auto"/>
              <w:bottom w:val="single" w:sz="4" w:space="0" w:color="auto"/>
              <w:right w:val="single" w:sz="4" w:space="0" w:color="auto"/>
            </w:tcBorders>
            <w:vAlign w:val="center"/>
            <w:hideMark/>
          </w:tcPr>
          <w:p w14:paraId="027FC48B" w14:textId="77777777" w:rsidR="00FB7D2A" w:rsidRDefault="00FB7D2A" w:rsidP="009E7724">
            <w:pPr>
              <w:spacing w:before="80"/>
              <w:jc w:val="center"/>
              <w:rPr>
                <w:color w:val="000000"/>
                <w:sz w:val="28"/>
                <w:szCs w:val="28"/>
              </w:rPr>
            </w:pPr>
            <w:r>
              <w:rPr>
                <w:color w:val="000000"/>
                <w:sz w:val="28"/>
                <w:szCs w:val="28"/>
              </w:rPr>
              <w:lastRenderedPageBreak/>
              <w:t>7</w:t>
            </w:r>
          </w:p>
        </w:tc>
        <w:tc>
          <w:tcPr>
            <w:tcW w:w="1191" w:type="pct"/>
            <w:vMerge w:val="restart"/>
            <w:tcBorders>
              <w:top w:val="nil"/>
              <w:left w:val="single" w:sz="4" w:space="0" w:color="auto"/>
              <w:bottom w:val="single" w:sz="4" w:space="0" w:color="auto"/>
              <w:right w:val="single" w:sz="4" w:space="0" w:color="auto"/>
            </w:tcBorders>
            <w:vAlign w:val="center"/>
            <w:hideMark/>
          </w:tcPr>
          <w:p w14:paraId="7AA3B59A" w14:textId="77777777" w:rsidR="00FB7D2A" w:rsidRDefault="00FB7D2A" w:rsidP="009E7724">
            <w:pPr>
              <w:spacing w:before="80"/>
              <w:jc w:val="both"/>
              <w:rPr>
                <w:color w:val="000000"/>
                <w:sz w:val="28"/>
                <w:szCs w:val="28"/>
              </w:rPr>
            </w:pPr>
            <w:r>
              <w:rPr>
                <w:color w:val="000000"/>
                <w:sz w:val="28"/>
                <w:szCs w:val="28"/>
              </w:rPr>
              <w:t>Môi trường</w:t>
            </w:r>
          </w:p>
        </w:tc>
        <w:tc>
          <w:tcPr>
            <w:tcW w:w="3410" w:type="pct"/>
            <w:tcBorders>
              <w:top w:val="nil"/>
              <w:left w:val="nil"/>
              <w:bottom w:val="single" w:sz="4" w:space="0" w:color="auto"/>
              <w:right w:val="single" w:sz="4" w:space="0" w:color="auto"/>
            </w:tcBorders>
            <w:vAlign w:val="center"/>
            <w:hideMark/>
          </w:tcPr>
          <w:p w14:paraId="757ABC1F" w14:textId="77777777" w:rsidR="00FB7D2A" w:rsidRDefault="00FB7D2A" w:rsidP="009E7724">
            <w:pPr>
              <w:spacing w:before="80"/>
              <w:jc w:val="both"/>
              <w:rPr>
                <w:color w:val="000000"/>
                <w:sz w:val="28"/>
                <w:szCs w:val="28"/>
              </w:rPr>
            </w:pPr>
            <w:r>
              <w:rPr>
                <w:color w:val="000000"/>
                <w:sz w:val="28"/>
                <w:szCs w:val="28"/>
                <w:lang w:val="vi-VN"/>
              </w:rPr>
              <w:t xml:space="preserve">Chuyên gia Quản lý chất thải </w:t>
            </w:r>
          </w:p>
        </w:tc>
      </w:tr>
      <w:tr w:rsidR="00FB7D2A" w14:paraId="5CEBB92D" w14:textId="77777777" w:rsidTr="001C04AA">
        <w:trPr>
          <w:trHeight w:val="567"/>
        </w:trPr>
        <w:tc>
          <w:tcPr>
            <w:tcW w:w="399" w:type="pct"/>
            <w:vMerge/>
            <w:tcBorders>
              <w:top w:val="nil"/>
              <w:left w:val="single" w:sz="4" w:space="0" w:color="auto"/>
              <w:bottom w:val="single" w:sz="4" w:space="0" w:color="auto"/>
              <w:right w:val="single" w:sz="4" w:space="0" w:color="auto"/>
            </w:tcBorders>
            <w:vAlign w:val="center"/>
            <w:hideMark/>
          </w:tcPr>
          <w:p w14:paraId="2B91469A" w14:textId="77777777" w:rsidR="00FB7D2A" w:rsidRDefault="00FB7D2A" w:rsidP="009E7724">
            <w:pPr>
              <w:spacing w:before="80"/>
              <w:rPr>
                <w:color w:val="000000"/>
                <w:sz w:val="28"/>
                <w:szCs w:val="28"/>
              </w:rPr>
            </w:pPr>
          </w:p>
        </w:tc>
        <w:tc>
          <w:tcPr>
            <w:tcW w:w="1191" w:type="pct"/>
            <w:vMerge/>
            <w:tcBorders>
              <w:top w:val="nil"/>
              <w:left w:val="single" w:sz="4" w:space="0" w:color="auto"/>
              <w:bottom w:val="single" w:sz="4" w:space="0" w:color="auto"/>
              <w:right w:val="single" w:sz="4" w:space="0" w:color="auto"/>
            </w:tcBorders>
            <w:vAlign w:val="center"/>
            <w:hideMark/>
          </w:tcPr>
          <w:p w14:paraId="7F4E4DEC" w14:textId="77777777" w:rsidR="00FB7D2A" w:rsidRDefault="00FB7D2A" w:rsidP="009E7724">
            <w:pPr>
              <w:spacing w:before="80"/>
              <w:rPr>
                <w:color w:val="000000"/>
                <w:sz w:val="28"/>
                <w:szCs w:val="28"/>
              </w:rPr>
            </w:pPr>
          </w:p>
        </w:tc>
        <w:tc>
          <w:tcPr>
            <w:tcW w:w="3410" w:type="pct"/>
            <w:tcBorders>
              <w:top w:val="nil"/>
              <w:left w:val="nil"/>
              <w:bottom w:val="single" w:sz="4" w:space="0" w:color="auto"/>
              <w:right w:val="single" w:sz="4" w:space="0" w:color="auto"/>
            </w:tcBorders>
            <w:vAlign w:val="center"/>
            <w:hideMark/>
          </w:tcPr>
          <w:p w14:paraId="7A10431D" w14:textId="77777777" w:rsidR="00FB7D2A" w:rsidRDefault="00FB7D2A" w:rsidP="009E7724">
            <w:pPr>
              <w:spacing w:before="80"/>
              <w:jc w:val="both"/>
              <w:rPr>
                <w:color w:val="000000"/>
                <w:sz w:val="28"/>
                <w:szCs w:val="28"/>
              </w:rPr>
            </w:pPr>
            <w:r>
              <w:rPr>
                <w:color w:val="000000"/>
                <w:sz w:val="28"/>
                <w:szCs w:val="28"/>
                <w:lang w:val="vi-VN"/>
              </w:rPr>
              <w:t>Chuyên gia Quan trắc môi trường</w:t>
            </w:r>
          </w:p>
        </w:tc>
      </w:tr>
      <w:tr w:rsidR="00FB7D2A" w14:paraId="250A23B2" w14:textId="77777777" w:rsidTr="001C04AA">
        <w:trPr>
          <w:trHeight w:val="567"/>
        </w:trPr>
        <w:tc>
          <w:tcPr>
            <w:tcW w:w="399" w:type="pct"/>
            <w:tcBorders>
              <w:top w:val="nil"/>
              <w:left w:val="single" w:sz="4" w:space="0" w:color="auto"/>
              <w:bottom w:val="single" w:sz="4" w:space="0" w:color="auto"/>
              <w:right w:val="single" w:sz="4" w:space="0" w:color="auto"/>
            </w:tcBorders>
            <w:vAlign w:val="center"/>
            <w:hideMark/>
          </w:tcPr>
          <w:p w14:paraId="5A2BE71C" w14:textId="77777777" w:rsidR="00FB7D2A" w:rsidRDefault="00FB7D2A" w:rsidP="009E7724">
            <w:pPr>
              <w:spacing w:before="80"/>
              <w:jc w:val="center"/>
              <w:rPr>
                <w:color w:val="000000"/>
                <w:sz w:val="28"/>
                <w:szCs w:val="28"/>
              </w:rPr>
            </w:pPr>
            <w:r>
              <w:rPr>
                <w:color w:val="000000"/>
                <w:sz w:val="28"/>
                <w:szCs w:val="28"/>
              </w:rPr>
              <w:t>8</w:t>
            </w:r>
          </w:p>
        </w:tc>
        <w:tc>
          <w:tcPr>
            <w:tcW w:w="1191" w:type="pct"/>
            <w:tcBorders>
              <w:top w:val="nil"/>
              <w:left w:val="nil"/>
              <w:bottom w:val="single" w:sz="4" w:space="0" w:color="auto"/>
              <w:right w:val="single" w:sz="4" w:space="0" w:color="auto"/>
            </w:tcBorders>
            <w:vAlign w:val="center"/>
            <w:hideMark/>
          </w:tcPr>
          <w:p w14:paraId="614E0F5C" w14:textId="77777777" w:rsidR="00FB7D2A" w:rsidRDefault="00FB7D2A" w:rsidP="009E7724">
            <w:pPr>
              <w:spacing w:before="80"/>
              <w:jc w:val="both"/>
              <w:rPr>
                <w:color w:val="000000"/>
                <w:sz w:val="28"/>
                <w:szCs w:val="28"/>
              </w:rPr>
            </w:pPr>
            <w:r>
              <w:rPr>
                <w:color w:val="000000"/>
                <w:sz w:val="28"/>
                <w:szCs w:val="28"/>
              </w:rPr>
              <w:t>Quản lý đấu thầu</w:t>
            </w:r>
          </w:p>
        </w:tc>
        <w:tc>
          <w:tcPr>
            <w:tcW w:w="3410" w:type="pct"/>
            <w:tcBorders>
              <w:top w:val="nil"/>
              <w:left w:val="nil"/>
              <w:bottom w:val="single" w:sz="4" w:space="0" w:color="auto"/>
              <w:right w:val="single" w:sz="4" w:space="0" w:color="auto"/>
            </w:tcBorders>
            <w:vAlign w:val="center"/>
            <w:hideMark/>
          </w:tcPr>
          <w:p w14:paraId="0AB035BC" w14:textId="77777777" w:rsidR="00FB7D2A" w:rsidRDefault="00FB7D2A" w:rsidP="009E7724">
            <w:pPr>
              <w:spacing w:before="80"/>
              <w:jc w:val="both"/>
              <w:rPr>
                <w:color w:val="000000"/>
                <w:sz w:val="28"/>
                <w:szCs w:val="28"/>
              </w:rPr>
            </w:pPr>
            <w:r>
              <w:rPr>
                <w:color w:val="000000"/>
                <w:sz w:val="28"/>
                <w:szCs w:val="28"/>
                <w:lang w:val="vi-VN"/>
              </w:rPr>
              <w:t xml:space="preserve">Chuyên gia Lựa chọn nhà thầu và thương thảo hợp đồng </w:t>
            </w:r>
          </w:p>
        </w:tc>
      </w:tr>
    </w:tbl>
    <w:p w14:paraId="3C860F5C" w14:textId="77777777" w:rsidR="00EE2529" w:rsidRPr="0043515C" w:rsidRDefault="00EE2529" w:rsidP="00FB7D2A">
      <w:pPr>
        <w:tabs>
          <w:tab w:val="left" w:pos="851"/>
        </w:tabs>
        <w:spacing w:before="120" w:line="264" w:lineRule="auto"/>
        <w:ind w:firstLine="567"/>
        <w:jc w:val="both"/>
        <w:rPr>
          <w:rFonts w:asciiTheme="majorHAnsi" w:hAnsiTheme="majorHAnsi" w:cstheme="majorHAnsi"/>
          <w:sz w:val="28"/>
          <w:szCs w:val="28"/>
        </w:rPr>
      </w:pPr>
      <w:r w:rsidRPr="0043515C">
        <w:rPr>
          <w:rFonts w:asciiTheme="majorHAnsi" w:hAnsiTheme="majorHAnsi" w:cstheme="majorHAnsi"/>
          <w:sz w:val="28"/>
          <w:szCs w:val="28"/>
        </w:rPr>
        <w:t>Các Tổng công ty phát triển đội ngũ chuyên gia cấp Tổng công ty theo nhu cầu.</w:t>
      </w:r>
    </w:p>
    <w:p w14:paraId="7E081FEC" w14:textId="67530975"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(ii)</w:t>
      </w:r>
      <w:r w:rsidR="00EE2529" w:rsidRPr="0043515C">
        <w:rPr>
          <w:rFonts w:asciiTheme="majorHAnsi" w:hAnsiTheme="majorHAnsi" w:cstheme="majorHAnsi"/>
          <w:b/>
          <w:bCs/>
          <w:i/>
          <w:sz w:val="28"/>
          <w:szCs w:val="28"/>
        </w:rPr>
        <w:t xml:space="preserve"> Nâng cao năng lực quản trị, lãnh đạo </w:t>
      </w:r>
      <w:r w:rsidRPr="0043515C">
        <w:rPr>
          <w:rFonts w:asciiTheme="majorHAnsi" w:hAnsiTheme="majorHAnsi" w:cstheme="majorHAnsi"/>
          <w:b/>
          <w:bCs/>
          <w:i/>
          <w:sz w:val="28"/>
          <w:szCs w:val="28"/>
        </w:rPr>
        <w:t>hướng đến các chuẩn mực</w:t>
      </w:r>
      <w:r w:rsidR="00EE2529" w:rsidRPr="0043515C">
        <w:rPr>
          <w:rFonts w:asciiTheme="majorHAnsi" w:hAnsiTheme="majorHAnsi" w:cstheme="majorHAnsi"/>
          <w:b/>
          <w:bCs/>
          <w:i/>
          <w:sz w:val="28"/>
          <w:szCs w:val="28"/>
        </w:rPr>
        <w:t xml:space="preserve"> quốc tế</w:t>
      </w:r>
    </w:p>
    <w:p w14:paraId="18BDA955" w14:textId="3283090F" w:rsidR="00EE2529" w:rsidRPr="0043515C" w:rsidRDefault="00EE2529" w:rsidP="00FB7D2A">
      <w:pPr>
        <w:tabs>
          <w:tab w:val="left" w:pos="851"/>
        </w:tabs>
        <w:spacing w:before="120" w:line="264" w:lineRule="auto"/>
        <w:ind w:firstLine="567"/>
        <w:jc w:val="both"/>
        <w:rPr>
          <w:rFonts w:asciiTheme="majorHAnsi" w:hAnsiTheme="majorHAnsi" w:cstheme="majorHAnsi"/>
          <w:iCs/>
          <w:sz w:val="28"/>
          <w:szCs w:val="28"/>
        </w:rPr>
      </w:pPr>
      <w:r w:rsidRPr="0043515C">
        <w:rPr>
          <w:rFonts w:asciiTheme="majorHAnsi" w:hAnsiTheme="majorHAnsi" w:cstheme="majorHAnsi"/>
          <w:iCs/>
          <w:sz w:val="28"/>
          <w:szCs w:val="28"/>
        </w:rPr>
        <w:t xml:space="preserve">Phát triển đội ngũ </w:t>
      </w:r>
      <w:r w:rsidRPr="0043515C">
        <w:rPr>
          <w:rFonts w:asciiTheme="majorHAnsi" w:hAnsiTheme="majorHAnsi" w:cstheme="majorHAnsi"/>
          <w:b/>
          <w:bCs/>
          <w:iCs/>
          <w:sz w:val="28"/>
          <w:szCs w:val="28"/>
        </w:rPr>
        <w:t>lãnh đạo, quản lý các cấp</w:t>
      </w:r>
      <w:r w:rsidRPr="0043515C">
        <w:rPr>
          <w:rFonts w:asciiTheme="majorHAnsi" w:hAnsiTheme="majorHAnsi" w:cstheme="majorHAnsi"/>
          <w:iCs/>
          <w:sz w:val="28"/>
          <w:szCs w:val="28"/>
        </w:rPr>
        <w:t xml:space="preserve"> có năng lực quản trị hiện đại</w:t>
      </w:r>
      <w:r w:rsidR="00CF03AC" w:rsidRPr="0043515C">
        <w:rPr>
          <w:rFonts w:asciiTheme="majorHAnsi" w:hAnsiTheme="majorHAnsi" w:cstheme="majorHAnsi"/>
          <w:iCs/>
          <w:sz w:val="28"/>
          <w:szCs w:val="28"/>
        </w:rPr>
        <w:t xml:space="preserve"> theo chuẩn mực OECD</w:t>
      </w:r>
      <w:r w:rsidRPr="0043515C">
        <w:rPr>
          <w:rFonts w:asciiTheme="majorHAnsi" w:hAnsiTheme="majorHAnsi" w:cstheme="majorHAnsi"/>
          <w:iCs/>
          <w:sz w:val="28"/>
          <w:szCs w:val="28"/>
        </w:rPr>
        <w:t xml:space="preserve">, tư duy chiến lược, đáp ứng yêu cầu </w:t>
      </w:r>
      <w:r w:rsidRPr="0043515C">
        <w:rPr>
          <w:rFonts w:asciiTheme="majorHAnsi" w:hAnsiTheme="majorHAnsi" w:cstheme="majorHAnsi"/>
          <w:b/>
          <w:bCs/>
          <w:iCs/>
          <w:sz w:val="28"/>
          <w:szCs w:val="28"/>
        </w:rPr>
        <w:t>quản trị doanh nghiệp trên nền tảng số</w:t>
      </w:r>
      <w:r w:rsidRPr="0043515C">
        <w:rPr>
          <w:rFonts w:asciiTheme="majorHAnsi" w:hAnsiTheme="majorHAnsi" w:cstheme="majorHAnsi"/>
          <w:iCs/>
          <w:sz w:val="28"/>
          <w:szCs w:val="28"/>
        </w:rPr>
        <w:t xml:space="preserve"> và hội nhập khu vực, quốc tế.</w:t>
      </w:r>
    </w:p>
    <w:p w14:paraId="3F15DA73" w14:textId="77777777"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Xây dựng Khung chương trình đào tạo CBQL tiên tiến, hiện đại, đáp ứng chuẩn mực quản trị OECD.</w:t>
      </w:r>
    </w:p>
    <w:p w14:paraId="446A4CF0" w14:textId="77777777"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Hàng năm EVN tổ chức tối thiểu 01 chương trình đào tạo CBQL cấp 1,  01 lớp CBQL cấp 2 và 02 lớp CBQL cấp 3 thuộc diện EVN quản lý, tổ chức cho CBQL các cấp đi học tập kinh nghiệm tại các quốc gia trên thế giới; các Tổng công ty tổ chức đào tạo CBQL thường xuyên, đáp ứng yêu cầu xây dựng đội ngũ cán bộ quản lý đạt chuẩn, ngang tầm nhiệm vụ và hội nhập quốc tế.</w:t>
      </w:r>
    </w:p>
    <w:p w14:paraId="3D1660E3" w14:textId="77777777"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Xây dựng nhóm CBQL chiến lược có khả năng tham gia trực tiếp các chương trình đào tạo quốc tế.</w:t>
      </w:r>
    </w:p>
    <w:p w14:paraId="1E8FCC2B" w14:textId="6A88DB8B"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(iii)</w:t>
      </w:r>
      <w:r w:rsidR="00EE2529" w:rsidRPr="0043515C">
        <w:rPr>
          <w:rFonts w:asciiTheme="majorHAnsi" w:hAnsiTheme="majorHAnsi" w:cstheme="majorHAnsi"/>
          <w:b/>
          <w:bCs/>
          <w:i/>
          <w:sz w:val="28"/>
          <w:szCs w:val="28"/>
        </w:rPr>
        <w:t xml:space="preserve"> </w:t>
      </w:r>
      <w:r w:rsidR="003B2697" w:rsidRPr="0043515C">
        <w:rPr>
          <w:rFonts w:asciiTheme="majorHAnsi" w:hAnsiTheme="majorHAnsi" w:cstheme="majorHAnsi"/>
          <w:b/>
          <w:bCs/>
          <w:i/>
          <w:sz w:val="28"/>
          <w:szCs w:val="28"/>
        </w:rPr>
        <w:t xml:space="preserve">Nâng cao năng lực của người lao động thông qua các chương trình </w:t>
      </w:r>
      <w:r w:rsidR="00EB091A">
        <w:rPr>
          <w:rFonts w:asciiTheme="majorHAnsi" w:hAnsiTheme="majorHAnsi" w:cstheme="majorHAnsi"/>
          <w:b/>
          <w:bCs/>
          <w:i/>
          <w:sz w:val="28"/>
          <w:szCs w:val="28"/>
        </w:rPr>
        <w:t>đ</w:t>
      </w:r>
      <w:r w:rsidR="003B2697" w:rsidRPr="0043515C">
        <w:rPr>
          <w:rFonts w:asciiTheme="majorHAnsi" w:hAnsiTheme="majorHAnsi" w:cstheme="majorHAnsi"/>
          <w:b/>
          <w:bCs/>
          <w:i/>
          <w:sz w:val="28"/>
          <w:szCs w:val="28"/>
        </w:rPr>
        <w:t>ào tạo gắn với</w:t>
      </w:r>
      <w:r w:rsidR="00EE2529" w:rsidRPr="0043515C">
        <w:rPr>
          <w:rFonts w:asciiTheme="majorHAnsi" w:hAnsiTheme="majorHAnsi" w:cstheme="majorHAnsi"/>
          <w:b/>
          <w:bCs/>
          <w:i/>
          <w:sz w:val="28"/>
          <w:szCs w:val="28"/>
        </w:rPr>
        <w:t xml:space="preserve"> thực tiễn sản xuất – kinh doanh và nhu cầu phát triển của Tập đoàn</w:t>
      </w:r>
    </w:p>
    <w:p w14:paraId="0D985016" w14:textId="77777777" w:rsidR="00EE2529" w:rsidRPr="0043515C" w:rsidRDefault="00EE2529" w:rsidP="00FB7D2A">
      <w:pPr>
        <w:tabs>
          <w:tab w:val="left" w:pos="851"/>
        </w:tabs>
        <w:spacing w:before="120" w:line="264" w:lineRule="auto"/>
        <w:ind w:firstLine="567"/>
        <w:jc w:val="both"/>
        <w:rPr>
          <w:rFonts w:asciiTheme="majorHAnsi" w:hAnsiTheme="majorHAnsi" w:cstheme="majorHAnsi"/>
          <w:iCs/>
          <w:sz w:val="28"/>
          <w:szCs w:val="28"/>
        </w:rPr>
      </w:pPr>
      <w:r w:rsidRPr="0043515C">
        <w:rPr>
          <w:rFonts w:asciiTheme="majorHAnsi" w:hAnsiTheme="majorHAnsi" w:cstheme="majorHAnsi"/>
          <w:iCs/>
          <w:sz w:val="28"/>
          <w:szCs w:val="28"/>
        </w:rPr>
        <w:t xml:space="preserve">Bảo đảm đào tạo theo hướng </w:t>
      </w:r>
      <w:r w:rsidRPr="0043515C">
        <w:rPr>
          <w:rFonts w:asciiTheme="majorHAnsi" w:hAnsiTheme="majorHAnsi" w:cstheme="majorHAnsi"/>
          <w:b/>
          <w:bCs/>
          <w:iCs/>
          <w:sz w:val="28"/>
          <w:szCs w:val="28"/>
        </w:rPr>
        <w:t>“học đi đôi với hành, lý thuyết gắn với thực tiễn”</w:t>
      </w:r>
      <w:r w:rsidRPr="0043515C">
        <w:rPr>
          <w:rFonts w:asciiTheme="majorHAnsi" w:hAnsiTheme="majorHAnsi" w:cstheme="majorHAnsi"/>
          <w:iCs/>
          <w:sz w:val="28"/>
          <w:szCs w:val="28"/>
        </w:rPr>
        <w:t>, sát với yêu cầu vị trí việc làm, dự án trọng điểm và chiến lược sản xuất – kinh doanh của EVN.</w:t>
      </w:r>
    </w:p>
    <w:p w14:paraId="274513E4" w14:textId="42532F81" w:rsidR="00EE2529" w:rsidRPr="0043515C" w:rsidRDefault="00EE2529"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Tiếp tục chuẩn hóa các chương trình đào tạo CBSX, chuẩn bị nguồn nhân lực đầy đủ về số lượng và đáp ứng chất lượng cho các dự án trọng điểm, đặc biệt là dự án Điện hạt nhân Ninh Thuận 1. </w:t>
      </w:r>
    </w:p>
    <w:p w14:paraId="2018D8A3" w14:textId="5EC9CDA6" w:rsidR="00EE2529" w:rsidRPr="0043515C" w:rsidRDefault="00CF03AC"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Nâng cao chất lượng các chương trình đào tạo thường xuyên cho lực lượng lao động trực tiếp, nâng cao tính thực hành, thực tiễn. </w:t>
      </w:r>
      <w:r w:rsidR="00EE2529" w:rsidRPr="0043515C">
        <w:rPr>
          <w:rFonts w:asciiTheme="majorHAnsi" w:hAnsiTheme="majorHAnsi" w:cstheme="majorHAnsi"/>
          <w:sz w:val="28"/>
          <w:szCs w:val="28"/>
        </w:rPr>
        <w:t>Xây dựng các chương trình đào tạo</w:t>
      </w:r>
      <w:r w:rsidRPr="0043515C">
        <w:rPr>
          <w:rFonts w:asciiTheme="majorHAnsi" w:hAnsiTheme="majorHAnsi" w:cstheme="majorHAnsi"/>
          <w:sz w:val="28"/>
          <w:szCs w:val="28"/>
        </w:rPr>
        <w:t xml:space="preserve"> nâng cao, chuyên sâu</w:t>
      </w:r>
      <w:r w:rsidR="00EE2529" w:rsidRPr="0043515C">
        <w:rPr>
          <w:rFonts w:asciiTheme="majorHAnsi" w:hAnsiTheme="majorHAnsi" w:cstheme="majorHAnsi"/>
          <w:sz w:val="28"/>
          <w:szCs w:val="28"/>
        </w:rPr>
        <w:t xml:space="preserve"> phù hợp với định hướng chiến lược dài hạn của EVN, trong giai đoạn 2026-2030 tập trung vào </w:t>
      </w:r>
      <w:r w:rsidRPr="0043515C">
        <w:rPr>
          <w:rFonts w:asciiTheme="majorHAnsi" w:hAnsiTheme="majorHAnsi" w:cstheme="majorHAnsi"/>
          <w:sz w:val="28"/>
          <w:szCs w:val="28"/>
        </w:rPr>
        <w:t>nâng cao kỹ năng số</w:t>
      </w:r>
      <w:r w:rsidR="00EE2529" w:rsidRPr="0043515C">
        <w:rPr>
          <w:rFonts w:asciiTheme="majorHAnsi" w:hAnsiTheme="majorHAnsi" w:cstheme="majorHAnsi"/>
          <w:sz w:val="28"/>
          <w:szCs w:val="28"/>
        </w:rPr>
        <w:t xml:space="preserve">, chuyển dịch năng lượng, nâng cao chất lượng </w:t>
      </w:r>
      <w:r w:rsidRPr="0043515C">
        <w:rPr>
          <w:rFonts w:asciiTheme="majorHAnsi" w:hAnsiTheme="majorHAnsi" w:cstheme="majorHAnsi"/>
          <w:sz w:val="28"/>
          <w:szCs w:val="28"/>
        </w:rPr>
        <w:t xml:space="preserve">vận hành, bảo dưỡng, </w:t>
      </w:r>
      <w:r w:rsidR="00EE2529" w:rsidRPr="0043515C">
        <w:rPr>
          <w:rFonts w:asciiTheme="majorHAnsi" w:hAnsiTheme="majorHAnsi" w:cstheme="majorHAnsi"/>
          <w:sz w:val="28"/>
          <w:szCs w:val="28"/>
        </w:rPr>
        <w:t>dịch vụ khác</w:t>
      </w:r>
      <w:r w:rsidRPr="0043515C">
        <w:rPr>
          <w:rFonts w:asciiTheme="majorHAnsi" w:hAnsiTheme="majorHAnsi" w:cstheme="majorHAnsi"/>
          <w:sz w:val="28"/>
          <w:szCs w:val="28"/>
        </w:rPr>
        <w:t>h</w:t>
      </w:r>
      <w:r w:rsidR="00EE2529" w:rsidRPr="0043515C">
        <w:rPr>
          <w:rFonts w:asciiTheme="majorHAnsi" w:hAnsiTheme="majorHAnsi" w:cstheme="majorHAnsi"/>
          <w:sz w:val="28"/>
          <w:szCs w:val="28"/>
        </w:rPr>
        <w:t xml:space="preserve"> hàng và đổi mới sáng tạo.</w:t>
      </w:r>
    </w:p>
    <w:p w14:paraId="743BB1A4" w14:textId="56B82640"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lastRenderedPageBreak/>
        <w:t>(iv) Tiếp tục hoàn thiện hệ thống quản trị tri thức trong EVN, tích cực ứng dụng công nghệ số để tạo môi trường học tập thuận lợi nhất cho các cá nhân tự nâng cao năng lực, thúc đẩy văn hóa học tập chủ động, học tập suốt đời.</w:t>
      </w:r>
    </w:p>
    <w:p w14:paraId="0C44BA26" w14:textId="53C9B1CC" w:rsidR="00CF03AC" w:rsidRDefault="00CF03AC"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Tiếp tục hoàn thiện </w:t>
      </w:r>
      <w:r w:rsidR="003B2697" w:rsidRPr="0043515C">
        <w:rPr>
          <w:rFonts w:asciiTheme="majorHAnsi" w:hAnsiTheme="majorHAnsi" w:cstheme="majorHAnsi"/>
          <w:sz w:val="28"/>
          <w:szCs w:val="28"/>
        </w:rPr>
        <w:t>mạng lưới giảng viên nội bộ trong EVN, đảm bảo mọi lĩnh vực đều có giảng viên nội bộ đạt chuẩn; tiếp tục rà soát, nâng cao chất lượng tài liệu giảng dạy, câu hỏi và xây dựng chương trình khung đào tạo cho các vị trí chủ chốt về vận hành, sửa chữa và kinh doanh</w:t>
      </w:r>
      <w:r w:rsidR="00EE148C">
        <w:rPr>
          <w:rFonts w:asciiTheme="majorHAnsi" w:hAnsiTheme="majorHAnsi" w:cstheme="majorHAnsi"/>
          <w:sz w:val="28"/>
          <w:szCs w:val="28"/>
        </w:rPr>
        <w:t>.</w:t>
      </w:r>
    </w:p>
    <w:p w14:paraId="2CED67EC" w14:textId="62F0300D" w:rsidR="00EE148C" w:rsidRPr="0043515C" w:rsidRDefault="00EE148C"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Pr>
          <w:rFonts w:asciiTheme="majorHAnsi" w:hAnsiTheme="majorHAnsi" w:cstheme="majorHAnsi"/>
          <w:sz w:val="28"/>
          <w:szCs w:val="28"/>
        </w:rPr>
        <w:t>Tăng cường yêu cầu ứng viên chuyên gia, chuyên gia các cấp xây dựng chương trình, giáo trình đào tạo và tích cực tham gia đào tạo ở các cấp.</w:t>
      </w:r>
    </w:p>
    <w:p w14:paraId="1ACBB274" w14:textId="68822BD4" w:rsidR="00EE2529" w:rsidRPr="0043515C" w:rsidRDefault="003B2697"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Tiếp tục hoàn thiện phần mềm E-learning 2.0 để tăng trải nghiệm tích cực của người dùng, thường xuyên rà soát và cập nhật bài giảng E-learning; xây dựng danh mục quản lý tài liệu học tập khoa học, dễ khai thác; xây dựng các kho bài giảng về kỹ năng số để phổ biến trong toàn EVN</w:t>
      </w:r>
      <w:r w:rsidR="00EE2529" w:rsidRPr="0043515C">
        <w:rPr>
          <w:rFonts w:asciiTheme="majorHAnsi" w:hAnsiTheme="majorHAnsi" w:cstheme="majorHAnsi"/>
          <w:sz w:val="28"/>
          <w:szCs w:val="28"/>
        </w:rPr>
        <w:t>.</w:t>
      </w:r>
    </w:p>
    <w:p w14:paraId="2C421FC9" w14:textId="45244456" w:rsidR="00CF03AC" w:rsidRPr="0043515C" w:rsidRDefault="003B2697" w:rsidP="00FB7D2A">
      <w:pPr>
        <w:numPr>
          <w:ilvl w:val="0"/>
          <w:numId w:val="17"/>
        </w:numPr>
        <w:tabs>
          <w:tab w:val="left" w:pos="851"/>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Phối hợp với Công đoàn các cấp liên tục thúc đẩy phong trào học tập chủ động, học tập suốt đời, xây dựng thành công các hình mẫu văn hóa học tập, tổ chức học tập trong EVN.</w:t>
      </w:r>
    </w:p>
    <w:p w14:paraId="1389BE1F" w14:textId="16B487D9" w:rsidR="00EE2529" w:rsidRPr="0043515C" w:rsidRDefault="00CF03AC" w:rsidP="00FB7D2A">
      <w:pPr>
        <w:tabs>
          <w:tab w:val="left" w:pos="851"/>
        </w:tabs>
        <w:spacing w:before="120" w:line="264" w:lineRule="auto"/>
        <w:ind w:firstLine="567"/>
        <w:jc w:val="both"/>
        <w:rPr>
          <w:rFonts w:asciiTheme="majorHAnsi" w:hAnsiTheme="majorHAnsi" w:cstheme="majorHAnsi"/>
          <w:b/>
          <w:bCs/>
          <w:i/>
          <w:sz w:val="28"/>
          <w:szCs w:val="28"/>
        </w:rPr>
      </w:pPr>
      <w:r w:rsidRPr="0043515C">
        <w:rPr>
          <w:rFonts w:asciiTheme="majorHAnsi" w:hAnsiTheme="majorHAnsi" w:cstheme="majorHAnsi"/>
          <w:b/>
          <w:bCs/>
          <w:i/>
          <w:sz w:val="28"/>
          <w:szCs w:val="28"/>
        </w:rPr>
        <w:t>(v)</w:t>
      </w:r>
      <w:r w:rsidR="00EE2529" w:rsidRPr="0043515C">
        <w:rPr>
          <w:rFonts w:asciiTheme="majorHAnsi" w:hAnsiTheme="majorHAnsi" w:cstheme="majorHAnsi"/>
          <w:b/>
          <w:bCs/>
          <w:i/>
          <w:sz w:val="28"/>
          <w:szCs w:val="28"/>
        </w:rPr>
        <w:t xml:space="preserve"> Tăng cường hợp tác trong nước và quốc tế</w:t>
      </w:r>
    </w:p>
    <w:p w14:paraId="264F64A9" w14:textId="77777777" w:rsidR="00EE2529" w:rsidRPr="0043515C" w:rsidRDefault="00EE2529" w:rsidP="00FB7D2A">
      <w:pPr>
        <w:tabs>
          <w:tab w:val="left" w:pos="851"/>
        </w:tabs>
        <w:spacing w:before="120" w:line="264" w:lineRule="auto"/>
        <w:ind w:firstLine="567"/>
        <w:jc w:val="both"/>
        <w:rPr>
          <w:rFonts w:asciiTheme="majorHAnsi" w:hAnsiTheme="majorHAnsi" w:cstheme="majorHAnsi"/>
          <w:i/>
          <w:sz w:val="28"/>
          <w:szCs w:val="28"/>
        </w:rPr>
      </w:pPr>
      <w:r w:rsidRPr="0043515C">
        <w:rPr>
          <w:rFonts w:asciiTheme="majorHAnsi" w:hAnsiTheme="majorHAnsi" w:cstheme="majorHAnsi"/>
          <w:i/>
          <w:sz w:val="28"/>
          <w:szCs w:val="28"/>
        </w:rPr>
        <w:t xml:space="preserve">Tăng cường hợp tác với các trường đại học, viện nghiên cứu trong nước để </w:t>
      </w:r>
      <w:r w:rsidRPr="0043515C">
        <w:rPr>
          <w:rFonts w:asciiTheme="majorHAnsi" w:hAnsiTheme="majorHAnsi" w:cstheme="majorHAnsi"/>
          <w:b/>
          <w:bCs/>
          <w:i/>
          <w:sz w:val="28"/>
          <w:szCs w:val="28"/>
        </w:rPr>
        <w:t>gắn đào tạo chuyên sâu với nghiên cứu phát triển</w:t>
      </w:r>
      <w:r w:rsidRPr="0043515C">
        <w:rPr>
          <w:rFonts w:asciiTheme="majorHAnsi" w:hAnsiTheme="majorHAnsi" w:cstheme="majorHAnsi"/>
          <w:i/>
          <w:sz w:val="28"/>
          <w:szCs w:val="28"/>
        </w:rPr>
        <w:t xml:space="preserve">; tiếp tục phát triển mạng lưới đối tác quốc tế hướng tới các chương trình </w:t>
      </w:r>
      <w:r w:rsidRPr="0043515C">
        <w:rPr>
          <w:rFonts w:asciiTheme="majorHAnsi" w:hAnsiTheme="majorHAnsi" w:cstheme="majorHAnsi"/>
          <w:b/>
          <w:bCs/>
          <w:i/>
          <w:sz w:val="28"/>
          <w:szCs w:val="28"/>
        </w:rPr>
        <w:t>đào tạo đạt chuẩn và hội nhập quốc tế</w:t>
      </w:r>
      <w:r w:rsidRPr="0043515C">
        <w:rPr>
          <w:rFonts w:asciiTheme="majorHAnsi" w:hAnsiTheme="majorHAnsi" w:cstheme="majorHAnsi"/>
          <w:i/>
          <w:sz w:val="28"/>
          <w:szCs w:val="28"/>
        </w:rPr>
        <w:t>.</w:t>
      </w:r>
    </w:p>
    <w:p w14:paraId="22C126E3" w14:textId="2066ACD7" w:rsidR="007850AB" w:rsidRPr="0043515C" w:rsidRDefault="00DA5E4C" w:rsidP="00FB7D2A">
      <w:pPr>
        <w:tabs>
          <w:tab w:val="left" w:pos="851"/>
        </w:tabs>
        <w:spacing w:before="120" w:line="264" w:lineRule="auto"/>
        <w:ind w:firstLine="567"/>
        <w:jc w:val="both"/>
        <w:rPr>
          <w:rFonts w:asciiTheme="majorHAnsi" w:hAnsiTheme="majorHAnsi" w:cstheme="majorHAnsi"/>
          <w:b/>
          <w:bCs/>
          <w:i/>
          <w:iCs/>
          <w:sz w:val="28"/>
          <w:szCs w:val="28"/>
        </w:rPr>
      </w:pPr>
      <w:r w:rsidRPr="0043515C">
        <w:rPr>
          <w:rFonts w:asciiTheme="majorHAnsi" w:hAnsiTheme="majorHAnsi" w:cstheme="majorHAnsi"/>
          <w:b/>
          <w:bCs/>
          <w:i/>
          <w:iCs/>
          <w:sz w:val="28"/>
          <w:szCs w:val="28"/>
        </w:rPr>
        <w:t>(vi) Tiếp tục triển khai, đổi mới giải pháp quản trị nguồn nhân lực hiện đại khác để tạo điều kiện nâng cao chất lượng nguồn nhân lực đáp ứng yêu cầu trong giai đoạn mới</w:t>
      </w:r>
    </w:p>
    <w:p w14:paraId="17158811" w14:textId="5F5FF69E" w:rsidR="00DA5E4C" w:rsidRPr="0043515C" w:rsidRDefault="00DA5E4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Tiếp tục rà soát, sắp xếp tổ chức bộ máy theo hướng minh bạch, tinh gọn, hiệu năng và hiệu quả. Giảm bớt các tầng nấc trung gian, các ban chức năng có nhiệm vụ chồng chéo và thực hiện phân cấp, phân quyền tối đa gắn với kiểm tra giám sát. Bố trí, sắp xếp nhân lực phù hợp với cơ cấu tổ chức, vị trí việc làm mới; đồng thời tiếp tục thực hiện các chính sách hỗ trợ đối với cán bộ, người lao động khi sắp xếp, tinh gọn tổ chức, bộ máy nhằm giữ chân nhân lực chất lượng cao, giúp người lao động yên tâm công tác ở vị trí việc làm mới.</w:t>
      </w:r>
    </w:p>
    <w:p w14:paraId="1FAA6814" w14:textId="40202947" w:rsidR="00DA5E4C" w:rsidRPr="0043515C" w:rsidRDefault="0043515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 xml:space="preserve">Thành lập </w:t>
      </w:r>
      <w:r w:rsidR="00DA5E4C" w:rsidRPr="0043515C">
        <w:rPr>
          <w:rFonts w:asciiTheme="majorHAnsi" w:hAnsiTheme="majorHAnsi" w:cstheme="majorHAnsi"/>
          <w:sz w:val="28"/>
          <w:szCs w:val="28"/>
        </w:rPr>
        <w:t xml:space="preserve">Trung tâm R&amp;D </w:t>
      </w:r>
      <w:r w:rsidRPr="0043515C">
        <w:rPr>
          <w:rFonts w:asciiTheme="majorHAnsi" w:hAnsiTheme="majorHAnsi" w:cstheme="majorHAnsi"/>
          <w:sz w:val="28"/>
          <w:szCs w:val="28"/>
        </w:rPr>
        <w:t>để thúc đẩy các hoạt động nghiên cứu khoa học, đổi mới sáng tạo, tạo môi trường cho các kỹ sư tài năng, chuyên gia nghiên cứu và sáng tạo. Trung tâm R&amp;D sẽ là một phần của hệ thống qu</w:t>
      </w:r>
      <w:r w:rsidR="00ED0247">
        <w:rPr>
          <w:rFonts w:asciiTheme="majorHAnsi" w:hAnsiTheme="majorHAnsi" w:cstheme="majorHAnsi"/>
          <w:sz w:val="28"/>
          <w:szCs w:val="28"/>
        </w:rPr>
        <w:t>ả</w:t>
      </w:r>
      <w:r w:rsidRPr="0043515C">
        <w:rPr>
          <w:rFonts w:asciiTheme="majorHAnsi" w:hAnsiTheme="majorHAnsi" w:cstheme="majorHAnsi"/>
          <w:sz w:val="28"/>
          <w:szCs w:val="28"/>
        </w:rPr>
        <w:t>n trị tri thức, nơi</w:t>
      </w:r>
      <w:r w:rsidR="00DA5E4C" w:rsidRPr="0043515C">
        <w:rPr>
          <w:rFonts w:asciiTheme="majorHAnsi" w:hAnsiTheme="majorHAnsi" w:cstheme="majorHAnsi"/>
          <w:sz w:val="28"/>
          <w:szCs w:val="28"/>
        </w:rPr>
        <w:t xml:space="preserve"> tập trung để tổng hợp, lưu trữ và quản lý các kết quả nghiên cứu khoa học và giải pháp công nghệ. Thay vì để tri thức bị phân tán tại các đơn vị thành viên, hệ thống quản trị mới sẽ giúp lan tỏa các sáng kiến và kết quả nghiên cứu hiệu quả hơn, đảm bảo tri thức được kế thừa và phát triển liên tục, từ đó hình thành một "tổ chức học tập" bền vững trong toàn EVN.</w:t>
      </w:r>
    </w:p>
    <w:p w14:paraId="24AACBF9" w14:textId="77777777" w:rsidR="0043515C" w:rsidRPr="0043515C" w:rsidRDefault="0043515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lastRenderedPageBreak/>
        <w:t>Đẩy mạnh luân chuyển cán bộ: Thực hiện luân chuyển để đào tạo cán bộ trong quy hoạch, tập trung phát triển năng lực lãnh đạo thông qua việc giao trọng trách tại các dự án trọng điểm quốc gia hoặc các vị trí có tính thách thức cao.</w:t>
      </w:r>
    </w:p>
    <w:p w14:paraId="3011A674" w14:textId="249E50B0" w:rsidR="00DA5E4C" w:rsidRPr="0043515C" w:rsidRDefault="0043515C" w:rsidP="00FB7D2A">
      <w:pPr>
        <w:numPr>
          <w:ilvl w:val="0"/>
          <w:numId w:val="11"/>
        </w:numPr>
        <w:tabs>
          <w:tab w:val="clear" w:pos="720"/>
          <w:tab w:val="left" w:pos="851"/>
          <w:tab w:val="num" w:pos="993"/>
        </w:tabs>
        <w:spacing w:before="120" w:line="264" w:lineRule="auto"/>
        <w:ind w:left="0" w:firstLine="567"/>
        <w:jc w:val="both"/>
        <w:rPr>
          <w:rFonts w:asciiTheme="majorHAnsi" w:hAnsiTheme="majorHAnsi" w:cstheme="majorHAnsi"/>
          <w:sz w:val="28"/>
          <w:szCs w:val="28"/>
        </w:rPr>
      </w:pPr>
      <w:r w:rsidRPr="0043515C">
        <w:rPr>
          <w:rFonts w:asciiTheme="majorHAnsi" w:hAnsiTheme="majorHAnsi" w:cstheme="majorHAnsi"/>
          <w:sz w:val="28"/>
          <w:szCs w:val="28"/>
        </w:rPr>
        <w:t>Tiếp tục các giải pháp quản lý lao động để n</w:t>
      </w:r>
      <w:r w:rsidR="00DA5E4C" w:rsidRPr="0043515C">
        <w:rPr>
          <w:rFonts w:asciiTheme="majorHAnsi" w:hAnsiTheme="majorHAnsi" w:cstheme="majorHAnsi"/>
          <w:sz w:val="28"/>
          <w:szCs w:val="28"/>
        </w:rPr>
        <w:t xml:space="preserve">âng cao chất lượng đội ngũ: </w:t>
      </w:r>
      <w:r w:rsidRPr="0043515C">
        <w:rPr>
          <w:rFonts w:asciiTheme="majorHAnsi" w:hAnsiTheme="majorHAnsi" w:cstheme="majorHAnsi"/>
          <w:sz w:val="28"/>
          <w:szCs w:val="28"/>
        </w:rPr>
        <w:t xml:space="preserve">(i) </w:t>
      </w:r>
      <w:r w:rsidR="00DA5E4C" w:rsidRPr="0043515C">
        <w:rPr>
          <w:rFonts w:asciiTheme="majorHAnsi" w:hAnsiTheme="majorHAnsi" w:cstheme="majorHAnsi"/>
          <w:sz w:val="28"/>
          <w:szCs w:val="28"/>
        </w:rPr>
        <w:t>Thực hiện cơ chế để giải quyết lao động dôi dư, lao động lớn tuổi hoặc sức khỏe yếu không đáp ứng yêu cầu để thay thế bằng lực lượng lao động trẻ, có trình độ chuyên môn cao và am hiểu công nghệ số.</w:t>
      </w:r>
      <w:r w:rsidRPr="0043515C">
        <w:rPr>
          <w:rFonts w:asciiTheme="majorHAnsi" w:hAnsiTheme="majorHAnsi" w:cstheme="majorHAnsi"/>
          <w:sz w:val="28"/>
          <w:szCs w:val="28"/>
        </w:rPr>
        <w:t xml:space="preserve"> (ii) tiếp tục hoàn thiện chính sách trả lương, đãi ngộ, khen thưởng để thu hút và giữ chân nguồn nhân lực chất lượng cao. (iii) ứng dụng các hình thức tuyển dụng hiện đại để đảm bảo thu hút được nhân sự trẻ, tài năng và đảm bảo chất lượng tuyển dụng.</w:t>
      </w:r>
    </w:p>
    <w:p w14:paraId="0C8F8406" w14:textId="38C40710" w:rsidR="00D4135F" w:rsidRDefault="00DA5E4C" w:rsidP="00FB7D2A">
      <w:pPr>
        <w:numPr>
          <w:ilvl w:val="0"/>
          <w:numId w:val="11"/>
        </w:numPr>
        <w:tabs>
          <w:tab w:val="clear" w:pos="720"/>
          <w:tab w:val="left" w:pos="851"/>
          <w:tab w:val="num" w:pos="993"/>
        </w:tabs>
        <w:spacing w:before="120" w:line="264" w:lineRule="auto"/>
        <w:ind w:left="0" w:firstLine="567"/>
        <w:jc w:val="both"/>
      </w:pPr>
      <w:r w:rsidRPr="00367071">
        <w:rPr>
          <w:rFonts w:asciiTheme="majorHAnsi" w:hAnsiTheme="majorHAnsi" w:cstheme="majorHAnsi"/>
          <w:sz w:val="28"/>
          <w:szCs w:val="28"/>
        </w:rPr>
        <w:t>Xây dựng môi trường, văn hóa doanh nghiệp lành mạnh, thúc đẩy đổi mới sáng tạo, ứng dụng khoa học quản trị hiện đại vào quản trị doanh nghiệp.</w:t>
      </w:r>
    </w:p>
    <w:p w14:paraId="42340917" w14:textId="77777777" w:rsidR="00D4135F" w:rsidRDefault="00D4135F" w:rsidP="00367071">
      <w:pPr>
        <w:tabs>
          <w:tab w:val="left" w:pos="2998"/>
        </w:tabs>
        <w:spacing w:before="120" w:line="276" w:lineRule="auto"/>
      </w:pPr>
    </w:p>
    <w:sectPr w:rsidR="00D4135F" w:rsidSect="00E354B5">
      <w:headerReference w:type="default" r:id="rId10"/>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7B1D" w14:textId="77777777" w:rsidR="00E478B7" w:rsidRDefault="00E478B7">
      <w:r>
        <w:separator/>
      </w:r>
    </w:p>
  </w:endnote>
  <w:endnote w:type="continuationSeparator" w:id="0">
    <w:p w14:paraId="77754182" w14:textId="77777777" w:rsidR="00E478B7" w:rsidRDefault="00E4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261D" w14:textId="77777777" w:rsidR="00E478B7" w:rsidRDefault="00E478B7">
      <w:r>
        <w:separator/>
      </w:r>
    </w:p>
  </w:footnote>
  <w:footnote w:type="continuationSeparator" w:id="0">
    <w:p w14:paraId="07380D3C" w14:textId="77777777" w:rsidR="00E478B7" w:rsidRDefault="00E478B7">
      <w:r>
        <w:continuationSeparator/>
      </w:r>
    </w:p>
  </w:footnote>
  <w:footnote w:id="1">
    <w:p w14:paraId="2DAE1DCE" w14:textId="14673C80" w:rsidR="009C2EC3" w:rsidRPr="00EB091A" w:rsidRDefault="009C2EC3" w:rsidP="00EB091A">
      <w:pPr>
        <w:widowControl w:val="0"/>
        <w:tabs>
          <w:tab w:val="left" w:pos="851"/>
        </w:tabs>
        <w:spacing w:before="120"/>
        <w:jc w:val="both"/>
        <w:rPr>
          <w:rFonts w:asciiTheme="majorHAnsi" w:hAnsiTheme="majorHAnsi" w:cstheme="majorHAnsi"/>
          <w:sz w:val="20"/>
          <w:szCs w:val="20"/>
          <w:lang w:val="nl-NL"/>
        </w:rPr>
      </w:pPr>
      <w:r w:rsidRPr="00EB091A">
        <w:rPr>
          <w:rStyle w:val="FootnoteReference"/>
          <w:sz w:val="20"/>
          <w:szCs w:val="20"/>
        </w:rPr>
        <w:footnoteRef/>
      </w:r>
      <w:r w:rsidRPr="00EB091A">
        <w:rPr>
          <w:sz w:val="20"/>
          <w:szCs w:val="20"/>
        </w:rPr>
        <w:t xml:space="preserve"> </w:t>
      </w:r>
      <w:r w:rsidRPr="00EB091A">
        <w:rPr>
          <w:rFonts w:asciiTheme="majorHAnsi" w:hAnsiTheme="majorHAnsi" w:cstheme="majorHAnsi"/>
          <w:sz w:val="20"/>
          <w:szCs w:val="20"/>
          <w:lang w:val="nl-NL"/>
        </w:rPr>
        <w:t>Năm 2021 Quản trị doanh nghiệp hiệu quả (mời nhóm giảng viên Singapore gồm chuyên gia chiến lược, chuyên gia tài chính, lãnh đạo và nguyên lãnh đạo Temasek, các ngân hàng). Năm 2023: Quản trị sự thay đổi trong bối cảnh chuyển dịch năng lượng (phối hợp với GIZ mời các giảng viên của doanh nghiệp năng lượng Đức). Năm 2024: Lãnh đạo hiệu quả trong thời kỳ bất ổn (kết hợp lớp CBQL cấp 2, mời Giáo sư Chris Rowley, ĐH Kellog Mỹ); Năm 2025: Tọa đàm về Quản trị tập đoàn  trong thời kỳ chuyển đổi số và nhiều biến động (mời bà My Lan, Giám đốc Kinh doanh Khu vực ASEAN, Tổng Giám đốc Tập đoàn Sơn AkzoNobel Việt Nam, cựu Giám đốc GE Việt Nam).</w:t>
      </w:r>
    </w:p>
  </w:footnote>
  <w:footnote w:id="2">
    <w:p w14:paraId="7C7EFEF8" w14:textId="7E4D115E" w:rsidR="00732F54" w:rsidRPr="00EB091A" w:rsidRDefault="00732F54" w:rsidP="00EB091A">
      <w:pPr>
        <w:pStyle w:val="FootnoteText"/>
        <w:spacing w:before="120"/>
        <w:jc w:val="both"/>
        <w:rPr>
          <w:lang w:val="nl-NL"/>
        </w:rPr>
      </w:pPr>
      <w:r w:rsidRPr="00EB091A">
        <w:rPr>
          <w:rStyle w:val="FootnoteReference"/>
        </w:rPr>
        <w:footnoteRef/>
      </w:r>
      <w:r w:rsidRPr="00EB091A">
        <w:rPr>
          <w:lang w:val="nl-NL"/>
        </w:rPr>
        <w:t xml:space="preserve"> </w:t>
      </w:r>
      <w:r w:rsidRPr="00EB091A">
        <w:rPr>
          <w:lang w:val="nl-NL"/>
        </w:rPr>
        <w:t xml:space="preserve">Khảo sát năm 2020 cho thấy hơn 80% lãnh đạo trực tiếp đánh giá KSTN từ mức tốt trở lên. </w:t>
      </w:r>
    </w:p>
  </w:footnote>
  <w:footnote w:id="3">
    <w:p w14:paraId="76779E89" w14:textId="34CB9F02" w:rsidR="002E262E" w:rsidRPr="00EB091A" w:rsidRDefault="002E262E" w:rsidP="00EB091A">
      <w:pPr>
        <w:pStyle w:val="FootnoteText"/>
        <w:spacing w:before="120"/>
        <w:jc w:val="both"/>
        <w:rPr>
          <w:lang w:val="nl-NL"/>
        </w:rPr>
      </w:pPr>
      <w:r w:rsidRPr="00EB091A">
        <w:rPr>
          <w:rStyle w:val="FootnoteReference"/>
        </w:rPr>
        <w:footnoteRef/>
      </w:r>
      <w:r w:rsidRPr="00EB091A">
        <w:rPr>
          <w:lang w:val="nl-NL"/>
        </w:rPr>
        <w:t xml:space="preserve"> </w:t>
      </w:r>
      <w:r w:rsidR="008F09C4" w:rsidRPr="00EB091A">
        <w:rPr>
          <w:lang w:val="nl-NL"/>
        </w:rPr>
        <w:t>0</w:t>
      </w:r>
      <w:r w:rsidR="00AC2588" w:rsidRPr="00EB091A">
        <w:rPr>
          <w:lang w:val="nl-NL"/>
        </w:rPr>
        <w:t>8</w:t>
      </w:r>
      <w:r w:rsidRPr="00EB091A">
        <w:rPr>
          <w:lang w:val="nl-NL"/>
        </w:rPr>
        <w:t xml:space="preserve"> CBQL cấp 1</w:t>
      </w:r>
      <w:r w:rsidR="00AC2588" w:rsidRPr="00EB091A">
        <w:rPr>
          <w:lang w:val="nl-NL"/>
        </w:rPr>
        <w:t xml:space="preserve">, </w:t>
      </w:r>
      <w:r w:rsidR="008F09C4" w:rsidRPr="00EB091A">
        <w:rPr>
          <w:lang w:val="nl-NL"/>
        </w:rPr>
        <w:t>40 CBQL cấp 2 đã được đào tạo sau đại học tại nước ngoài theo các chương trình đào tạo của EVN.</w:t>
      </w:r>
    </w:p>
  </w:footnote>
  <w:footnote w:id="4">
    <w:p w14:paraId="33B937AD" w14:textId="50D64CF5" w:rsidR="004D2FA7" w:rsidRPr="00367071" w:rsidRDefault="004D2FA7" w:rsidP="00EB091A">
      <w:pPr>
        <w:pStyle w:val="FootnoteText"/>
        <w:spacing w:before="120"/>
        <w:rPr>
          <w:sz w:val="22"/>
          <w:szCs w:val="22"/>
          <w:lang w:val="nl-NL"/>
        </w:rPr>
      </w:pPr>
      <w:r w:rsidRPr="00EB091A">
        <w:rPr>
          <w:rStyle w:val="FootnoteReference"/>
        </w:rPr>
        <w:footnoteRef/>
      </w:r>
      <w:r w:rsidRPr="00EB091A">
        <w:rPr>
          <w:lang w:val="nl-NL"/>
        </w:rPr>
        <w:t xml:space="preserve"> </w:t>
      </w:r>
      <w:r w:rsidRPr="00EB091A">
        <w:rPr>
          <w:lang w:val="nl-NL"/>
        </w:rPr>
        <w:t>Bỏ 01 lĩnh vực “Phân tích hệ thống điện” do A0 đã tách ra khỏi EVN.</w:t>
      </w:r>
    </w:p>
  </w:footnote>
  <w:footnote w:id="5">
    <w:p w14:paraId="03C7148A" w14:textId="2DB22FF2" w:rsidR="00A7065B" w:rsidRPr="00367071" w:rsidRDefault="00A7065B">
      <w:pPr>
        <w:pStyle w:val="FootnoteText"/>
        <w:rPr>
          <w:sz w:val="22"/>
          <w:szCs w:val="22"/>
          <w:lang w:val="nl-NL"/>
        </w:rPr>
      </w:pPr>
      <w:r w:rsidRPr="00A7065B">
        <w:rPr>
          <w:rStyle w:val="FootnoteReference"/>
          <w:sz w:val="22"/>
          <w:szCs w:val="22"/>
        </w:rPr>
        <w:footnoteRef/>
      </w:r>
      <w:r w:rsidRPr="00367071">
        <w:rPr>
          <w:sz w:val="22"/>
          <w:szCs w:val="22"/>
          <w:lang w:val="nl-NL"/>
        </w:rPr>
        <w:t xml:space="preserve"> </w:t>
      </w:r>
      <w:r w:rsidRPr="00367071">
        <w:rPr>
          <w:sz w:val="22"/>
          <w:szCs w:val="22"/>
          <w:lang w:val="nl-NL"/>
        </w:rPr>
        <w:t>Tham gia Hội thảo khoa học Quốc tế IEEE năm 2023; trao đổi chuyên gia với Điện lực PLN (Indonesia) về chính sách năng lượng tái tạo, với Điện lực TNB (Malaysia) về sửa chữa bảo dưỡng theo độ tin cậy (RCM); đào tạo lĩnh vực "Thí nghiệm hiệu chỉnh tổ lò hơi - tuabin nhà máy nhiệt điện” và ”Cơ khí, cân bằng động” tại LB Nga; tự động hóa lưới phân phối tại Nhật Bản.</w:t>
      </w:r>
    </w:p>
  </w:footnote>
  <w:footnote w:id="6">
    <w:p w14:paraId="3E21AD0C" w14:textId="2EF27FC3" w:rsidR="00354D53" w:rsidRPr="00367071" w:rsidRDefault="00354D53">
      <w:pPr>
        <w:pStyle w:val="FootnoteText"/>
        <w:rPr>
          <w:lang w:val="nl-NL"/>
        </w:rPr>
      </w:pPr>
      <w:r>
        <w:rPr>
          <w:rStyle w:val="FootnoteReference"/>
        </w:rPr>
        <w:footnoteRef/>
      </w:r>
      <w:r w:rsidRPr="00367071">
        <w:rPr>
          <w:lang w:val="nl-NL"/>
        </w:rPr>
        <w:t xml:space="preserve"> </w:t>
      </w:r>
      <w:r w:rsidRPr="00367071">
        <w:rPr>
          <w:lang w:val="nl-NL"/>
        </w:rPr>
        <w:t>Các vị trí chuyên gia theo đăng ký của các Ban chuyên môn, chưa có phê duyệt của lãnh đạo các cấp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6D45" w14:textId="439AE160" w:rsidR="0070649B" w:rsidRDefault="0070649B" w:rsidP="00F057AE">
    <w:pPr>
      <w:pStyle w:val="Header"/>
      <w:jc w:val="center"/>
    </w:pPr>
    <w:r w:rsidRPr="00F057AE">
      <w:rPr>
        <w:sz w:val="26"/>
        <w:szCs w:val="26"/>
      </w:rPr>
      <w:fldChar w:fldCharType="begin"/>
    </w:r>
    <w:r w:rsidRPr="00F057AE">
      <w:rPr>
        <w:sz w:val="26"/>
        <w:szCs w:val="26"/>
      </w:rPr>
      <w:instrText xml:space="preserve"> PAGE   \* MERGEFORMAT </w:instrText>
    </w:r>
    <w:r w:rsidRPr="00F057AE">
      <w:rPr>
        <w:sz w:val="26"/>
        <w:szCs w:val="26"/>
      </w:rPr>
      <w:fldChar w:fldCharType="separate"/>
    </w:r>
    <w:r w:rsidRPr="00F057AE">
      <w:rPr>
        <w:noProof/>
        <w:sz w:val="26"/>
        <w:szCs w:val="26"/>
      </w:rPr>
      <w:t>2</w:t>
    </w:r>
    <w:r w:rsidRPr="00F057AE">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1C5"/>
    <w:multiLevelType w:val="multilevel"/>
    <w:tmpl w:val="B2E6C4FE"/>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5D2E"/>
    <w:multiLevelType w:val="hybridMultilevel"/>
    <w:tmpl w:val="CBBC88A8"/>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2C109D"/>
    <w:multiLevelType w:val="multilevel"/>
    <w:tmpl w:val="F7867FC0"/>
    <w:lvl w:ilvl="0">
      <w:numFmt w:val="bullet"/>
      <w:lvlText w:val="-"/>
      <w:lvlJc w:val="left"/>
      <w:pPr>
        <w:ind w:left="1219" w:hanging="360"/>
      </w:pPr>
      <w:rPr>
        <w:rFonts w:ascii="Times New Roman" w:eastAsia="MS Mincho" w:hAnsi="Times New Roman" w:cs="Times New Roman" w:hint="default"/>
      </w:rPr>
    </w:lvl>
    <w:lvl w:ilvl="1">
      <w:start w:val="1"/>
      <w:numFmt w:val="decimal"/>
      <w:isLgl/>
      <w:lvlText w:val="%1.%2."/>
      <w:lvlJc w:val="left"/>
      <w:pPr>
        <w:ind w:left="1579" w:hanging="720"/>
      </w:pPr>
    </w:lvl>
    <w:lvl w:ilvl="2">
      <w:start w:val="1"/>
      <w:numFmt w:val="decimal"/>
      <w:isLgl/>
      <w:lvlText w:val="%1.%2.%3."/>
      <w:lvlJc w:val="left"/>
      <w:pPr>
        <w:ind w:left="1579" w:hanging="720"/>
      </w:pPr>
    </w:lvl>
    <w:lvl w:ilvl="3">
      <w:start w:val="1"/>
      <w:numFmt w:val="decimal"/>
      <w:lvlText w:val="%1.%2.%3.%4."/>
      <w:lvlJc w:val="left"/>
      <w:pPr>
        <w:ind w:left="1939" w:hanging="1080"/>
      </w:pPr>
    </w:lvl>
    <w:lvl w:ilvl="4">
      <w:start w:val="1"/>
      <w:numFmt w:val="decimal"/>
      <w:isLgl/>
      <w:lvlText w:val="%1.%2.%3.%4.%5."/>
      <w:lvlJc w:val="left"/>
      <w:pPr>
        <w:ind w:left="1939" w:hanging="1080"/>
      </w:pPr>
    </w:lvl>
    <w:lvl w:ilvl="5">
      <w:start w:val="1"/>
      <w:numFmt w:val="decimal"/>
      <w:isLgl/>
      <w:lvlText w:val="%1.%2.%3.%4.%5.%6."/>
      <w:lvlJc w:val="left"/>
      <w:pPr>
        <w:ind w:left="2299" w:hanging="1440"/>
      </w:pPr>
    </w:lvl>
    <w:lvl w:ilvl="6">
      <w:start w:val="1"/>
      <w:numFmt w:val="decimal"/>
      <w:isLgl/>
      <w:lvlText w:val="%1.%2.%3.%4.%5.%6.%7."/>
      <w:lvlJc w:val="left"/>
      <w:pPr>
        <w:ind w:left="2659" w:hanging="1800"/>
      </w:pPr>
    </w:lvl>
    <w:lvl w:ilvl="7">
      <w:start w:val="1"/>
      <w:numFmt w:val="decimal"/>
      <w:isLgl/>
      <w:lvlText w:val="%1.%2.%3.%4.%5.%6.%7.%8."/>
      <w:lvlJc w:val="left"/>
      <w:pPr>
        <w:ind w:left="2659" w:hanging="1800"/>
      </w:pPr>
    </w:lvl>
    <w:lvl w:ilvl="8">
      <w:start w:val="1"/>
      <w:numFmt w:val="decimal"/>
      <w:isLgl/>
      <w:lvlText w:val="%1.%2.%3.%4.%5.%6.%7.%8.%9."/>
      <w:lvlJc w:val="left"/>
      <w:pPr>
        <w:ind w:left="3019" w:hanging="2160"/>
      </w:pPr>
    </w:lvl>
  </w:abstractNum>
  <w:abstractNum w:abstractNumId="3" w15:restartNumberingAfterBreak="0">
    <w:nsid w:val="0ECD768C"/>
    <w:multiLevelType w:val="multilevel"/>
    <w:tmpl w:val="6F7448B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28B18A9"/>
    <w:multiLevelType w:val="hybridMultilevel"/>
    <w:tmpl w:val="FA9CC81C"/>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D64431"/>
    <w:multiLevelType w:val="hybridMultilevel"/>
    <w:tmpl w:val="8BBA089A"/>
    <w:lvl w:ilvl="0" w:tplc="1C22A18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665C78"/>
    <w:multiLevelType w:val="hybridMultilevel"/>
    <w:tmpl w:val="BC4400B2"/>
    <w:lvl w:ilvl="0" w:tplc="E54AE8F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163F20F5"/>
    <w:multiLevelType w:val="hybridMultilevel"/>
    <w:tmpl w:val="58AC274C"/>
    <w:lvl w:ilvl="0" w:tplc="BA04C9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57753"/>
    <w:multiLevelType w:val="hybridMultilevel"/>
    <w:tmpl w:val="A00C9728"/>
    <w:lvl w:ilvl="0" w:tplc="C3EE08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E694786"/>
    <w:multiLevelType w:val="hybridMultilevel"/>
    <w:tmpl w:val="339428EA"/>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A14E6C"/>
    <w:multiLevelType w:val="hybridMultilevel"/>
    <w:tmpl w:val="A9DE2A44"/>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F3099E"/>
    <w:multiLevelType w:val="hybridMultilevel"/>
    <w:tmpl w:val="D0DC4648"/>
    <w:lvl w:ilvl="0" w:tplc="82EC21F4">
      <w:start w:val="2"/>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07F64B7"/>
    <w:multiLevelType w:val="hybridMultilevel"/>
    <w:tmpl w:val="3D985F5E"/>
    <w:lvl w:ilvl="0" w:tplc="EBAA9378">
      <w:start w:val="80"/>
      <w:numFmt w:val="bullet"/>
      <w:lvlText w:val="-"/>
      <w:lvlJc w:val="left"/>
      <w:pPr>
        <w:ind w:left="1440" w:hanging="360"/>
      </w:pPr>
      <w:rPr>
        <w:rFonts w:ascii="Calibri" w:eastAsia="Calibri" w:hAnsi="Calibri" w:cs="Times New Roman" w:hint="default"/>
        <w:b w:val="0"/>
        <w:i w:val="0"/>
        <w:color w:val="auto"/>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F624C3"/>
    <w:multiLevelType w:val="hybridMultilevel"/>
    <w:tmpl w:val="193EE754"/>
    <w:lvl w:ilvl="0" w:tplc="04090003">
      <w:start w:val="1"/>
      <w:numFmt w:val="bullet"/>
      <w:lvlText w:val="o"/>
      <w:lvlJc w:val="left"/>
      <w:pPr>
        <w:ind w:left="1287" w:hanging="360"/>
      </w:pPr>
      <w:rPr>
        <w:rFonts w:ascii="Courier New" w:hAnsi="Courier New" w:cs="Courier New"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 w15:restartNumberingAfterBreak="0">
    <w:nsid w:val="217242BF"/>
    <w:multiLevelType w:val="hybridMultilevel"/>
    <w:tmpl w:val="FFAAC2DA"/>
    <w:lvl w:ilvl="0" w:tplc="F11A195A">
      <w:start w:val="1"/>
      <w:numFmt w:val="decimal"/>
      <w:lvlText w:val="%1."/>
      <w:lvlJc w:val="left"/>
      <w:pPr>
        <w:ind w:left="792" w:hanging="360"/>
      </w:pPr>
      <w:rPr>
        <w:color w:val="auto"/>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5" w15:restartNumberingAfterBreak="0">
    <w:nsid w:val="223E6BA9"/>
    <w:multiLevelType w:val="multilevel"/>
    <w:tmpl w:val="91D41FF6"/>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43116"/>
    <w:multiLevelType w:val="hybridMultilevel"/>
    <w:tmpl w:val="55065BB4"/>
    <w:lvl w:ilvl="0" w:tplc="2F6A4AC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603004"/>
    <w:multiLevelType w:val="multilevel"/>
    <w:tmpl w:val="439E79E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A40DCC"/>
    <w:multiLevelType w:val="hybridMultilevel"/>
    <w:tmpl w:val="54AA645C"/>
    <w:lvl w:ilvl="0" w:tplc="C79C4A5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26D150F2"/>
    <w:multiLevelType w:val="hybridMultilevel"/>
    <w:tmpl w:val="1504BD56"/>
    <w:lvl w:ilvl="0" w:tplc="FFAAE73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7E7060D"/>
    <w:multiLevelType w:val="hybridMultilevel"/>
    <w:tmpl w:val="A762020E"/>
    <w:lvl w:ilvl="0" w:tplc="FFAAE7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C3EA7"/>
    <w:multiLevelType w:val="multilevel"/>
    <w:tmpl w:val="F87C6D1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84DBA"/>
    <w:multiLevelType w:val="multilevel"/>
    <w:tmpl w:val="8A3ED07A"/>
    <w:lvl w:ilvl="0">
      <w:start w:val="1"/>
      <w:numFmt w:val="bullet"/>
      <w:lvlText w:val="-"/>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A13915"/>
    <w:multiLevelType w:val="hybridMultilevel"/>
    <w:tmpl w:val="63E829D8"/>
    <w:lvl w:ilvl="0" w:tplc="041E6C8A">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4" w15:restartNumberingAfterBreak="0">
    <w:nsid w:val="325F1E16"/>
    <w:multiLevelType w:val="multilevel"/>
    <w:tmpl w:val="A58C9BF4"/>
    <w:lvl w:ilvl="0">
      <w:start w:val="1"/>
      <w:numFmt w:val="bullet"/>
      <w:lvlText w:val="-"/>
      <w:lvlJc w:val="left"/>
      <w:pPr>
        <w:tabs>
          <w:tab w:val="num" w:pos="2487"/>
        </w:tabs>
        <w:ind w:left="2487" w:hanging="360"/>
      </w:pPr>
      <w:rPr>
        <w:rFonts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25" w15:restartNumberingAfterBreak="0">
    <w:nsid w:val="3577571A"/>
    <w:multiLevelType w:val="multilevel"/>
    <w:tmpl w:val="0434BEB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674629"/>
    <w:multiLevelType w:val="hybridMultilevel"/>
    <w:tmpl w:val="C2002520"/>
    <w:lvl w:ilvl="0" w:tplc="EAD211D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37253FD6"/>
    <w:multiLevelType w:val="hybridMultilevel"/>
    <w:tmpl w:val="630C1B1C"/>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387F23AA"/>
    <w:multiLevelType w:val="hybridMultilevel"/>
    <w:tmpl w:val="C7DE09F2"/>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389E40CC"/>
    <w:multiLevelType w:val="multilevel"/>
    <w:tmpl w:val="8C8C4A12"/>
    <w:lvl w:ilvl="0">
      <w:start w:val="1"/>
      <w:numFmt w:val="decimal"/>
      <w:lvlText w:val="%1."/>
      <w:lvlJc w:val="left"/>
      <w:pPr>
        <w:ind w:left="927" w:hanging="360"/>
      </w:pPr>
      <w:rPr>
        <w:b/>
        <w:bCs/>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0" w15:restartNumberingAfterBreak="0">
    <w:nsid w:val="39594F97"/>
    <w:multiLevelType w:val="multilevel"/>
    <w:tmpl w:val="B958E96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CB1056"/>
    <w:multiLevelType w:val="hybridMultilevel"/>
    <w:tmpl w:val="56F442D0"/>
    <w:lvl w:ilvl="0" w:tplc="D9CACF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03B5C55"/>
    <w:multiLevelType w:val="hybridMultilevel"/>
    <w:tmpl w:val="E6F27724"/>
    <w:lvl w:ilvl="0" w:tplc="CA48A6A0">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3" w15:restartNumberingAfterBreak="0">
    <w:nsid w:val="41D36E7C"/>
    <w:multiLevelType w:val="hybridMultilevel"/>
    <w:tmpl w:val="D330923A"/>
    <w:lvl w:ilvl="0" w:tplc="18A83BE0">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4" w15:restartNumberingAfterBreak="0">
    <w:nsid w:val="44497125"/>
    <w:multiLevelType w:val="hybridMultilevel"/>
    <w:tmpl w:val="D250D0EC"/>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45396515"/>
    <w:multiLevelType w:val="hybridMultilevel"/>
    <w:tmpl w:val="550E5D1A"/>
    <w:lvl w:ilvl="0" w:tplc="9378E154">
      <w:start w:val="1"/>
      <w:numFmt w:val="upperRoman"/>
      <w:lvlText w:val="%1."/>
      <w:lvlJc w:val="left"/>
      <w:pPr>
        <w:ind w:left="1080" w:hanging="72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1AA0AF4">
      <w:start w:val="1"/>
      <w:numFmt w:val="decimal"/>
      <w:lvlText w:val="%4."/>
      <w:lvlJc w:val="left"/>
      <w:pPr>
        <w:ind w:left="2880" w:hanging="360"/>
      </w:pPr>
      <w:rPr>
        <w:b/>
        <w:bCs/>
        <w:color w:val="EE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68528A4"/>
    <w:multiLevelType w:val="multilevel"/>
    <w:tmpl w:val="3356F4A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460270"/>
    <w:multiLevelType w:val="hybridMultilevel"/>
    <w:tmpl w:val="18B8BC6E"/>
    <w:lvl w:ilvl="0" w:tplc="8DBCEBF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4B4554F1"/>
    <w:multiLevelType w:val="hybridMultilevel"/>
    <w:tmpl w:val="D2DCEA8C"/>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E100D80"/>
    <w:multiLevelType w:val="hybridMultilevel"/>
    <w:tmpl w:val="39BAFF06"/>
    <w:lvl w:ilvl="0" w:tplc="9C3C1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4EA72104"/>
    <w:multiLevelType w:val="hybridMultilevel"/>
    <w:tmpl w:val="6FE2A0C8"/>
    <w:lvl w:ilvl="0" w:tplc="FFAAE73E">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558D5D2F"/>
    <w:multiLevelType w:val="multilevel"/>
    <w:tmpl w:val="DE4A6B46"/>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912CB5"/>
    <w:multiLevelType w:val="hybridMultilevel"/>
    <w:tmpl w:val="AAC266F4"/>
    <w:lvl w:ilvl="0" w:tplc="9C3C1B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D4F7052"/>
    <w:multiLevelType w:val="hybridMultilevel"/>
    <w:tmpl w:val="B63EE3BE"/>
    <w:lvl w:ilvl="0" w:tplc="CA48A6A0">
      <w:numFmt w:val="bullet"/>
      <w:lvlText w:val="-"/>
      <w:lvlJc w:val="left"/>
      <w:pPr>
        <w:ind w:left="1287" w:hanging="360"/>
      </w:pPr>
      <w:rPr>
        <w:rFonts w:ascii="Times New Roman" w:eastAsia="Times New Roman"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cs="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cs="Courier New" w:hint="default"/>
      </w:rPr>
    </w:lvl>
    <w:lvl w:ilvl="8" w:tplc="042A0005">
      <w:start w:val="1"/>
      <w:numFmt w:val="bullet"/>
      <w:lvlText w:val=""/>
      <w:lvlJc w:val="left"/>
      <w:pPr>
        <w:ind w:left="7047" w:hanging="360"/>
      </w:pPr>
      <w:rPr>
        <w:rFonts w:ascii="Wingdings" w:hAnsi="Wingdings" w:hint="default"/>
      </w:rPr>
    </w:lvl>
  </w:abstractNum>
  <w:abstractNum w:abstractNumId="44" w15:restartNumberingAfterBreak="0">
    <w:nsid w:val="63C303DF"/>
    <w:multiLevelType w:val="multilevel"/>
    <w:tmpl w:val="3BFA7000"/>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D70D0"/>
    <w:multiLevelType w:val="multilevel"/>
    <w:tmpl w:val="989AC2E8"/>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194D35"/>
    <w:multiLevelType w:val="hybridMultilevel"/>
    <w:tmpl w:val="C63C9FCA"/>
    <w:lvl w:ilvl="0" w:tplc="D3EC87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A04154"/>
    <w:multiLevelType w:val="hybridMultilevel"/>
    <w:tmpl w:val="1E7A6FB0"/>
    <w:lvl w:ilvl="0" w:tplc="3070B58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86324145">
    <w:abstractNumId w:val="30"/>
  </w:num>
  <w:num w:numId="2" w16cid:durableId="473568135">
    <w:abstractNumId w:val="45"/>
  </w:num>
  <w:num w:numId="3" w16cid:durableId="560942950">
    <w:abstractNumId w:val="22"/>
  </w:num>
  <w:num w:numId="4" w16cid:durableId="190342453">
    <w:abstractNumId w:val="41"/>
  </w:num>
  <w:num w:numId="5" w16cid:durableId="1470129817">
    <w:abstractNumId w:val="24"/>
  </w:num>
  <w:num w:numId="6" w16cid:durableId="1357001774">
    <w:abstractNumId w:val="21"/>
  </w:num>
  <w:num w:numId="7" w16cid:durableId="1220436357">
    <w:abstractNumId w:val="3"/>
  </w:num>
  <w:num w:numId="8" w16cid:durableId="1116482922">
    <w:abstractNumId w:val="25"/>
  </w:num>
  <w:num w:numId="9" w16cid:durableId="1179271559">
    <w:abstractNumId w:val="17"/>
  </w:num>
  <w:num w:numId="10" w16cid:durableId="78329267">
    <w:abstractNumId w:val="15"/>
  </w:num>
  <w:num w:numId="11" w16cid:durableId="1285817804">
    <w:abstractNumId w:val="36"/>
  </w:num>
  <w:num w:numId="12" w16cid:durableId="537742057">
    <w:abstractNumId w:val="44"/>
  </w:num>
  <w:num w:numId="13" w16cid:durableId="270861574">
    <w:abstractNumId w:val="0"/>
  </w:num>
  <w:num w:numId="14" w16cid:durableId="1385250206">
    <w:abstractNumId w:val="5"/>
  </w:num>
  <w:num w:numId="15" w16cid:durableId="453058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9173874">
    <w:abstractNumId w:val="13"/>
  </w:num>
  <w:num w:numId="17" w16cid:durableId="8738050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66619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372863">
    <w:abstractNumId w:val="20"/>
  </w:num>
  <w:num w:numId="20" w16cid:durableId="616184042">
    <w:abstractNumId w:val="19"/>
  </w:num>
  <w:num w:numId="21" w16cid:durableId="835731690">
    <w:abstractNumId w:val="16"/>
  </w:num>
  <w:num w:numId="22" w16cid:durableId="647056829">
    <w:abstractNumId w:val="4"/>
  </w:num>
  <w:num w:numId="23" w16cid:durableId="1534997050">
    <w:abstractNumId w:val="40"/>
  </w:num>
  <w:num w:numId="24" w16cid:durableId="1584292141">
    <w:abstractNumId w:val="12"/>
  </w:num>
  <w:num w:numId="25" w16cid:durableId="750274539">
    <w:abstractNumId w:val="39"/>
  </w:num>
  <w:num w:numId="26" w16cid:durableId="706300455">
    <w:abstractNumId w:val="43"/>
  </w:num>
  <w:num w:numId="27" w16cid:durableId="1236939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3040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437724">
    <w:abstractNumId w:val="12"/>
  </w:num>
  <w:num w:numId="30" w16cid:durableId="425612491">
    <w:abstractNumId w:val="32"/>
  </w:num>
  <w:num w:numId="31" w16cid:durableId="2066709646">
    <w:abstractNumId w:val="33"/>
  </w:num>
  <w:num w:numId="32" w16cid:durableId="139925731">
    <w:abstractNumId w:val="8"/>
  </w:num>
  <w:num w:numId="33" w16cid:durableId="1829902192">
    <w:abstractNumId w:val="37"/>
  </w:num>
  <w:num w:numId="34" w16cid:durableId="13729391">
    <w:abstractNumId w:val="11"/>
  </w:num>
  <w:num w:numId="35" w16cid:durableId="2029672799">
    <w:abstractNumId w:val="46"/>
  </w:num>
  <w:num w:numId="36" w16cid:durableId="101924580">
    <w:abstractNumId w:val="18"/>
  </w:num>
  <w:num w:numId="37" w16cid:durableId="39129927">
    <w:abstractNumId w:val="28"/>
  </w:num>
  <w:num w:numId="38" w16cid:durableId="1260022448">
    <w:abstractNumId w:val="27"/>
  </w:num>
  <w:num w:numId="39" w16cid:durableId="1768193721">
    <w:abstractNumId w:val="34"/>
  </w:num>
  <w:num w:numId="40" w16cid:durableId="175267813">
    <w:abstractNumId w:val="47"/>
  </w:num>
  <w:num w:numId="41" w16cid:durableId="838041561">
    <w:abstractNumId w:val="1"/>
  </w:num>
  <w:num w:numId="42" w16cid:durableId="523053083">
    <w:abstractNumId w:val="7"/>
  </w:num>
  <w:num w:numId="43" w16cid:durableId="730077520">
    <w:abstractNumId w:val="42"/>
  </w:num>
  <w:num w:numId="44" w16cid:durableId="489442406">
    <w:abstractNumId w:val="10"/>
  </w:num>
  <w:num w:numId="45" w16cid:durableId="1177964107">
    <w:abstractNumId w:val="38"/>
  </w:num>
  <w:num w:numId="46" w16cid:durableId="1894536214">
    <w:abstractNumId w:val="9"/>
  </w:num>
  <w:num w:numId="47" w16cid:durableId="960648073">
    <w:abstractNumId w:val="31"/>
  </w:num>
  <w:num w:numId="48" w16cid:durableId="1450472240">
    <w:abstractNumId w:val="26"/>
  </w:num>
  <w:num w:numId="49" w16cid:durableId="181189975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B2"/>
    <w:rsid w:val="00005210"/>
    <w:rsid w:val="00007229"/>
    <w:rsid w:val="00014BFD"/>
    <w:rsid w:val="0001607A"/>
    <w:rsid w:val="00017051"/>
    <w:rsid w:val="00021E99"/>
    <w:rsid w:val="00032039"/>
    <w:rsid w:val="0003287F"/>
    <w:rsid w:val="00042F62"/>
    <w:rsid w:val="000530B1"/>
    <w:rsid w:val="000530FE"/>
    <w:rsid w:val="000533A7"/>
    <w:rsid w:val="000574C9"/>
    <w:rsid w:val="00070431"/>
    <w:rsid w:val="00073830"/>
    <w:rsid w:val="00075EAE"/>
    <w:rsid w:val="00080B90"/>
    <w:rsid w:val="000911DD"/>
    <w:rsid w:val="000A12A1"/>
    <w:rsid w:val="000A675A"/>
    <w:rsid w:val="000A6EDD"/>
    <w:rsid w:val="000B08E1"/>
    <w:rsid w:val="000B4BFF"/>
    <w:rsid w:val="000C263B"/>
    <w:rsid w:val="000C3AAA"/>
    <w:rsid w:val="000C730A"/>
    <w:rsid w:val="000C78D1"/>
    <w:rsid w:val="000D0C23"/>
    <w:rsid w:val="000D29AD"/>
    <w:rsid w:val="000D74F5"/>
    <w:rsid w:val="000E0970"/>
    <w:rsid w:val="000E28E6"/>
    <w:rsid w:val="000F0515"/>
    <w:rsid w:val="000F2DCA"/>
    <w:rsid w:val="000F314B"/>
    <w:rsid w:val="000F38EA"/>
    <w:rsid w:val="000F4706"/>
    <w:rsid w:val="000F4824"/>
    <w:rsid w:val="000F4A6F"/>
    <w:rsid w:val="000F573B"/>
    <w:rsid w:val="001041C5"/>
    <w:rsid w:val="00112666"/>
    <w:rsid w:val="00115860"/>
    <w:rsid w:val="0011691B"/>
    <w:rsid w:val="001306E6"/>
    <w:rsid w:val="0013363F"/>
    <w:rsid w:val="0013525E"/>
    <w:rsid w:val="00140366"/>
    <w:rsid w:val="001431B1"/>
    <w:rsid w:val="00145759"/>
    <w:rsid w:val="00147BE5"/>
    <w:rsid w:val="001521DA"/>
    <w:rsid w:val="00157F21"/>
    <w:rsid w:val="00163023"/>
    <w:rsid w:val="00165704"/>
    <w:rsid w:val="00166F7F"/>
    <w:rsid w:val="00167DB3"/>
    <w:rsid w:val="00170176"/>
    <w:rsid w:val="00176E6D"/>
    <w:rsid w:val="001819E1"/>
    <w:rsid w:val="00192BB0"/>
    <w:rsid w:val="001A1F8F"/>
    <w:rsid w:val="001A4E0A"/>
    <w:rsid w:val="001A7E96"/>
    <w:rsid w:val="001B2BE6"/>
    <w:rsid w:val="001B3F4F"/>
    <w:rsid w:val="001B5988"/>
    <w:rsid w:val="001B6F8D"/>
    <w:rsid w:val="001C04AA"/>
    <w:rsid w:val="001C2E87"/>
    <w:rsid w:val="001C3FF5"/>
    <w:rsid w:val="001C5E4C"/>
    <w:rsid w:val="001C5FD4"/>
    <w:rsid w:val="001D56A9"/>
    <w:rsid w:val="001D6EB4"/>
    <w:rsid w:val="001E2043"/>
    <w:rsid w:val="001E539E"/>
    <w:rsid w:val="001E6729"/>
    <w:rsid w:val="001F4728"/>
    <w:rsid w:val="00200998"/>
    <w:rsid w:val="002153B5"/>
    <w:rsid w:val="00236DF7"/>
    <w:rsid w:val="00243444"/>
    <w:rsid w:val="00246F94"/>
    <w:rsid w:val="00250C9C"/>
    <w:rsid w:val="0025121D"/>
    <w:rsid w:val="00254EE3"/>
    <w:rsid w:val="002555B7"/>
    <w:rsid w:val="00257BBA"/>
    <w:rsid w:val="00263BB5"/>
    <w:rsid w:val="00264A41"/>
    <w:rsid w:val="002672B5"/>
    <w:rsid w:val="00272335"/>
    <w:rsid w:val="00272FDF"/>
    <w:rsid w:val="00276555"/>
    <w:rsid w:val="00287FC2"/>
    <w:rsid w:val="002903DD"/>
    <w:rsid w:val="002A07F6"/>
    <w:rsid w:val="002B1090"/>
    <w:rsid w:val="002B152F"/>
    <w:rsid w:val="002B3C77"/>
    <w:rsid w:val="002B5B04"/>
    <w:rsid w:val="002B61D1"/>
    <w:rsid w:val="002B7547"/>
    <w:rsid w:val="002C0E3F"/>
    <w:rsid w:val="002C28D3"/>
    <w:rsid w:val="002C4BCC"/>
    <w:rsid w:val="002C64BA"/>
    <w:rsid w:val="002C7247"/>
    <w:rsid w:val="002D3BC0"/>
    <w:rsid w:val="002E2547"/>
    <w:rsid w:val="002E262E"/>
    <w:rsid w:val="002E67D9"/>
    <w:rsid w:val="002E6941"/>
    <w:rsid w:val="002F026E"/>
    <w:rsid w:val="002F2F7B"/>
    <w:rsid w:val="002F3F7E"/>
    <w:rsid w:val="00300165"/>
    <w:rsid w:val="00305DAB"/>
    <w:rsid w:val="00306001"/>
    <w:rsid w:val="00312334"/>
    <w:rsid w:val="00312741"/>
    <w:rsid w:val="00316A3E"/>
    <w:rsid w:val="00321565"/>
    <w:rsid w:val="0032187D"/>
    <w:rsid w:val="0032421B"/>
    <w:rsid w:val="003268CB"/>
    <w:rsid w:val="00354D53"/>
    <w:rsid w:val="00357412"/>
    <w:rsid w:val="00357F38"/>
    <w:rsid w:val="0036488A"/>
    <w:rsid w:val="00367071"/>
    <w:rsid w:val="00367217"/>
    <w:rsid w:val="00370377"/>
    <w:rsid w:val="0037151C"/>
    <w:rsid w:val="00372763"/>
    <w:rsid w:val="00374B5F"/>
    <w:rsid w:val="00376491"/>
    <w:rsid w:val="0037655B"/>
    <w:rsid w:val="003815C8"/>
    <w:rsid w:val="00391BF5"/>
    <w:rsid w:val="00392532"/>
    <w:rsid w:val="003A0BA1"/>
    <w:rsid w:val="003A0C14"/>
    <w:rsid w:val="003A408C"/>
    <w:rsid w:val="003B2697"/>
    <w:rsid w:val="003B55AD"/>
    <w:rsid w:val="003C576B"/>
    <w:rsid w:val="003C6991"/>
    <w:rsid w:val="003D2EA7"/>
    <w:rsid w:val="003D6265"/>
    <w:rsid w:val="003D7668"/>
    <w:rsid w:val="003D790C"/>
    <w:rsid w:val="003E276D"/>
    <w:rsid w:val="003E4260"/>
    <w:rsid w:val="003E503E"/>
    <w:rsid w:val="00400404"/>
    <w:rsid w:val="00400F2C"/>
    <w:rsid w:val="00404A42"/>
    <w:rsid w:val="00411F89"/>
    <w:rsid w:val="00415B6E"/>
    <w:rsid w:val="0042052B"/>
    <w:rsid w:val="004217A8"/>
    <w:rsid w:val="00422A70"/>
    <w:rsid w:val="00424B44"/>
    <w:rsid w:val="00425E1B"/>
    <w:rsid w:val="0043515C"/>
    <w:rsid w:val="0044042F"/>
    <w:rsid w:val="00440AD9"/>
    <w:rsid w:val="00444A44"/>
    <w:rsid w:val="004474E6"/>
    <w:rsid w:val="00451680"/>
    <w:rsid w:val="00465C19"/>
    <w:rsid w:val="004666C4"/>
    <w:rsid w:val="00466E5A"/>
    <w:rsid w:val="004671D6"/>
    <w:rsid w:val="00471B22"/>
    <w:rsid w:val="004817AD"/>
    <w:rsid w:val="0048413E"/>
    <w:rsid w:val="004845F5"/>
    <w:rsid w:val="004876F5"/>
    <w:rsid w:val="004A12AB"/>
    <w:rsid w:val="004B68C1"/>
    <w:rsid w:val="004D0A8D"/>
    <w:rsid w:val="004D22B7"/>
    <w:rsid w:val="004D23C6"/>
    <w:rsid w:val="004D24A0"/>
    <w:rsid w:val="004D2FA7"/>
    <w:rsid w:val="004D3924"/>
    <w:rsid w:val="004D3FCC"/>
    <w:rsid w:val="004E29DF"/>
    <w:rsid w:val="004E76D7"/>
    <w:rsid w:val="004F57B3"/>
    <w:rsid w:val="004F7537"/>
    <w:rsid w:val="00500598"/>
    <w:rsid w:val="005014B8"/>
    <w:rsid w:val="005068AD"/>
    <w:rsid w:val="005078C5"/>
    <w:rsid w:val="005106F0"/>
    <w:rsid w:val="00521995"/>
    <w:rsid w:val="00522962"/>
    <w:rsid w:val="0053675B"/>
    <w:rsid w:val="00540A42"/>
    <w:rsid w:val="005424D2"/>
    <w:rsid w:val="00545FD3"/>
    <w:rsid w:val="0054658F"/>
    <w:rsid w:val="00550073"/>
    <w:rsid w:val="005521AE"/>
    <w:rsid w:val="00552987"/>
    <w:rsid w:val="005534BD"/>
    <w:rsid w:val="00554433"/>
    <w:rsid w:val="005547A1"/>
    <w:rsid w:val="00555710"/>
    <w:rsid w:val="00565055"/>
    <w:rsid w:val="00565AAC"/>
    <w:rsid w:val="005727F8"/>
    <w:rsid w:val="00575803"/>
    <w:rsid w:val="00582C94"/>
    <w:rsid w:val="00584FE0"/>
    <w:rsid w:val="005854BB"/>
    <w:rsid w:val="00590FCB"/>
    <w:rsid w:val="005A6A16"/>
    <w:rsid w:val="005A7657"/>
    <w:rsid w:val="005A7AE6"/>
    <w:rsid w:val="005B1847"/>
    <w:rsid w:val="005B28D2"/>
    <w:rsid w:val="005B44ED"/>
    <w:rsid w:val="005B5156"/>
    <w:rsid w:val="005C097A"/>
    <w:rsid w:val="005C1AE3"/>
    <w:rsid w:val="005C215E"/>
    <w:rsid w:val="005C36B8"/>
    <w:rsid w:val="005C5C72"/>
    <w:rsid w:val="005D35FE"/>
    <w:rsid w:val="005E4519"/>
    <w:rsid w:val="005E5467"/>
    <w:rsid w:val="005E6633"/>
    <w:rsid w:val="005E7DA5"/>
    <w:rsid w:val="005F2BE6"/>
    <w:rsid w:val="005F394B"/>
    <w:rsid w:val="005F530A"/>
    <w:rsid w:val="005F6AFB"/>
    <w:rsid w:val="005F7851"/>
    <w:rsid w:val="00601DB5"/>
    <w:rsid w:val="00601FD0"/>
    <w:rsid w:val="00602243"/>
    <w:rsid w:val="006024C3"/>
    <w:rsid w:val="0060468F"/>
    <w:rsid w:val="006048A0"/>
    <w:rsid w:val="006049BC"/>
    <w:rsid w:val="00606AC9"/>
    <w:rsid w:val="00607E51"/>
    <w:rsid w:val="006103CF"/>
    <w:rsid w:val="00610ED2"/>
    <w:rsid w:val="0061401A"/>
    <w:rsid w:val="006203CE"/>
    <w:rsid w:val="006215F8"/>
    <w:rsid w:val="00624AFD"/>
    <w:rsid w:val="00632036"/>
    <w:rsid w:val="0063301D"/>
    <w:rsid w:val="00641D20"/>
    <w:rsid w:val="00647B21"/>
    <w:rsid w:val="0065543E"/>
    <w:rsid w:val="00657DFF"/>
    <w:rsid w:val="00662D1A"/>
    <w:rsid w:val="00666788"/>
    <w:rsid w:val="00667790"/>
    <w:rsid w:val="00672395"/>
    <w:rsid w:val="00675A6A"/>
    <w:rsid w:val="00682A97"/>
    <w:rsid w:val="006870B7"/>
    <w:rsid w:val="006874EC"/>
    <w:rsid w:val="00690492"/>
    <w:rsid w:val="006947D6"/>
    <w:rsid w:val="006A665D"/>
    <w:rsid w:val="006A6942"/>
    <w:rsid w:val="006A6CDD"/>
    <w:rsid w:val="006B7133"/>
    <w:rsid w:val="006C47D0"/>
    <w:rsid w:val="006D3E32"/>
    <w:rsid w:val="006D6E00"/>
    <w:rsid w:val="006F2B01"/>
    <w:rsid w:val="006F4662"/>
    <w:rsid w:val="006F55CC"/>
    <w:rsid w:val="00702909"/>
    <w:rsid w:val="0070649B"/>
    <w:rsid w:val="00711026"/>
    <w:rsid w:val="007139CE"/>
    <w:rsid w:val="00714723"/>
    <w:rsid w:val="00726F72"/>
    <w:rsid w:val="00727389"/>
    <w:rsid w:val="00732F54"/>
    <w:rsid w:val="00733BB8"/>
    <w:rsid w:val="007349DE"/>
    <w:rsid w:val="00735E46"/>
    <w:rsid w:val="00737678"/>
    <w:rsid w:val="007449E9"/>
    <w:rsid w:val="00750A74"/>
    <w:rsid w:val="00751E56"/>
    <w:rsid w:val="00757AE7"/>
    <w:rsid w:val="00761B17"/>
    <w:rsid w:val="007648C8"/>
    <w:rsid w:val="00767FBE"/>
    <w:rsid w:val="00771E92"/>
    <w:rsid w:val="00774F2F"/>
    <w:rsid w:val="0077534C"/>
    <w:rsid w:val="00782F31"/>
    <w:rsid w:val="007831BE"/>
    <w:rsid w:val="00784935"/>
    <w:rsid w:val="007850AB"/>
    <w:rsid w:val="00787426"/>
    <w:rsid w:val="0079597E"/>
    <w:rsid w:val="007A34F9"/>
    <w:rsid w:val="007A391C"/>
    <w:rsid w:val="007B0B82"/>
    <w:rsid w:val="007B38CF"/>
    <w:rsid w:val="007B4C75"/>
    <w:rsid w:val="007B7484"/>
    <w:rsid w:val="007B7F50"/>
    <w:rsid w:val="007C3947"/>
    <w:rsid w:val="007C5C59"/>
    <w:rsid w:val="007D792E"/>
    <w:rsid w:val="007F1E23"/>
    <w:rsid w:val="007F4270"/>
    <w:rsid w:val="007F74E3"/>
    <w:rsid w:val="008000A6"/>
    <w:rsid w:val="00802099"/>
    <w:rsid w:val="00810094"/>
    <w:rsid w:val="008120D2"/>
    <w:rsid w:val="00815628"/>
    <w:rsid w:val="008243B1"/>
    <w:rsid w:val="00825A12"/>
    <w:rsid w:val="0082700C"/>
    <w:rsid w:val="00836860"/>
    <w:rsid w:val="00842400"/>
    <w:rsid w:val="008447AB"/>
    <w:rsid w:val="0084746D"/>
    <w:rsid w:val="00853B6C"/>
    <w:rsid w:val="00865D73"/>
    <w:rsid w:val="008668C6"/>
    <w:rsid w:val="00867460"/>
    <w:rsid w:val="00873D06"/>
    <w:rsid w:val="008741DF"/>
    <w:rsid w:val="008807E7"/>
    <w:rsid w:val="00880DC6"/>
    <w:rsid w:val="00891102"/>
    <w:rsid w:val="008A240A"/>
    <w:rsid w:val="008B10B2"/>
    <w:rsid w:val="008B1259"/>
    <w:rsid w:val="008B2C38"/>
    <w:rsid w:val="008B3C6A"/>
    <w:rsid w:val="008C768F"/>
    <w:rsid w:val="008D0846"/>
    <w:rsid w:val="008D4C16"/>
    <w:rsid w:val="008D4D96"/>
    <w:rsid w:val="008D5AF7"/>
    <w:rsid w:val="008D7A2A"/>
    <w:rsid w:val="008E301C"/>
    <w:rsid w:val="008E35B2"/>
    <w:rsid w:val="008E434E"/>
    <w:rsid w:val="008E43E8"/>
    <w:rsid w:val="008E6F3F"/>
    <w:rsid w:val="008F09C4"/>
    <w:rsid w:val="008F2496"/>
    <w:rsid w:val="008F2689"/>
    <w:rsid w:val="0090193A"/>
    <w:rsid w:val="009019D6"/>
    <w:rsid w:val="00901C1D"/>
    <w:rsid w:val="00901D17"/>
    <w:rsid w:val="009056EC"/>
    <w:rsid w:val="00912E1E"/>
    <w:rsid w:val="00914083"/>
    <w:rsid w:val="0091718B"/>
    <w:rsid w:val="009229EF"/>
    <w:rsid w:val="00927440"/>
    <w:rsid w:val="0092787D"/>
    <w:rsid w:val="009363CD"/>
    <w:rsid w:val="00937A26"/>
    <w:rsid w:val="00942EF5"/>
    <w:rsid w:val="00950CCC"/>
    <w:rsid w:val="00952725"/>
    <w:rsid w:val="00953B08"/>
    <w:rsid w:val="009549CF"/>
    <w:rsid w:val="0096115D"/>
    <w:rsid w:val="009637FD"/>
    <w:rsid w:val="00965DAA"/>
    <w:rsid w:val="00967A62"/>
    <w:rsid w:val="00981811"/>
    <w:rsid w:val="00990F99"/>
    <w:rsid w:val="00997464"/>
    <w:rsid w:val="009A2611"/>
    <w:rsid w:val="009A3E98"/>
    <w:rsid w:val="009B13C1"/>
    <w:rsid w:val="009B51AD"/>
    <w:rsid w:val="009B6DCB"/>
    <w:rsid w:val="009C2EC3"/>
    <w:rsid w:val="009D0EAC"/>
    <w:rsid w:val="009D3B81"/>
    <w:rsid w:val="009D55EF"/>
    <w:rsid w:val="009E04B5"/>
    <w:rsid w:val="009E193B"/>
    <w:rsid w:val="009E36A9"/>
    <w:rsid w:val="009E5C4F"/>
    <w:rsid w:val="009E7724"/>
    <w:rsid w:val="00A05E48"/>
    <w:rsid w:val="00A10A2D"/>
    <w:rsid w:val="00A1149A"/>
    <w:rsid w:val="00A17ECA"/>
    <w:rsid w:val="00A21824"/>
    <w:rsid w:val="00A21896"/>
    <w:rsid w:val="00A3727F"/>
    <w:rsid w:val="00A41E1E"/>
    <w:rsid w:val="00A420EF"/>
    <w:rsid w:val="00A507D4"/>
    <w:rsid w:val="00A60203"/>
    <w:rsid w:val="00A6108A"/>
    <w:rsid w:val="00A618D2"/>
    <w:rsid w:val="00A63013"/>
    <w:rsid w:val="00A633A0"/>
    <w:rsid w:val="00A64C51"/>
    <w:rsid w:val="00A65A30"/>
    <w:rsid w:val="00A65F79"/>
    <w:rsid w:val="00A7065B"/>
    <w:rsid w:val="00A73765"/>
    <w:rsid w:val="00A778C3"/>
    <w:rsid w:val="00A77F04"/>
    <w:rsid w:val="00A816D1"/>
    <w:rsid w:val="00A85F2D"/>
    <w:rsid w:val="00A938BE"/>
    <w:rsid w:val="00AA4C7C"/>
    <w:rsid w:val="00AC2588"/>
    <w:rsid w:val="00AC3718"/>
    <w:rsid w:val="00AC3F29"/>
    <w:rsid w:val="00AC5E66"/>
    <w:rsid w:val="00AD3631"/>
    <w:rsid w:val="00AD4979"/>
    <w:rsid w:val="00AE7944"/>
    <w:rsid w:val="00AE7E11"/>
    <w:rsid w:val="00AF24F2"/>
    <w:rsid w:val="00AF727A"/>
    <w:rsid w:val="00B1283D"/>
    <w:rsid w:val="00B12EE9"/>
    <w:rsid w:val="00B151D2"/>
    <w:rsid w:val="00B20256"/>
    <w:rsid w:val="00B20888"/>
    <w:rsid w:val="00B224F1"/>
    <w:rsid w:val="00B230B2"/>
    <w:rsid w:val="00B25253"/>
    <w:rsid w:val="00B256E0"/>
    <w:rsid w:val="00B25FD0"/>
    <w:rsid w:val="00B27551"/>
    <w:rsid w:val="00B31DEE"/>
    <w:rsid w:val="00B361C8"/>
    <w:rsid w:val="00B4137C"/>
    <w:rsid w:val="00B50496"/>
    <w:rsid w:val="00B511AE"/>
    <w:rsid w:val="00B54963"/>
    <w:rsid w:val="00B62C78"/>
    <w:rsid w:val="00B659E9"/>
    <w:rsid w:val="00B773A8"/>
    <w:rsid w:val="00B90D90"/>
    <w:rsid w:val="00B924AA"/>
    <w:rsid w:val="00B92C2F"/>
    <w:rsid w:val="00B959BB"/>
    <w:rsid w:val="00B95CC7"/>
    <w:rsid w:val="00BB44F9"/>
    <w:rsid w:val="00BB54F7"/>
    <w:rsid w:val="00BB59F1"/>
    <w:rsid w:val="00BC05A6"/>
    <w:rsid w:val="00BD3473"/>
    <w:rsid w:val="00BD5D5E"/>
    <w:rsid w:val="00BF506B"/>
    <w:rsid w:val="00C02C2C"/>
    <w:rsid w:val="00C11428"/>
    <w:rsid w:val="00C17444"/>
    <w:rsid w:val="00C20260"/>
    <w:rsid w:val="00C20D31"/>
    <w:rsid w:val="00C22B48"/>
    <w:rsid w:val="00C27244"/>
    <w:rsid w:val="00C30F76"/>
    <w:rsid w:val="00C3247B"/>
    <w:rsid w:val="00C364A8"/>
    <w:rsid w:val="00C4072F"/>
    <w:rsid w:val="00C41B25"/>
    <w:rsid w:val="00C41BD5"/>
    <w:rsid w:val="00C428E8"/>
    <w:rsid w:val="00C447BC"/>
    <w:rsid w:val="00C44DC8"/>
    <w:rsid w:val="00C5146C"/>
    <w:rsid w:val="00C55EF6"/>
    <w:rsid w:val="00C560A2"/>
    <w:rsid w:val="00C621B3"/>
    <w:rsid w:val="00C6437C"/>
    <w:rsid w:val="00C65009"/>
    <w:rsid w:val="00C82BAD"/>
    <w:rsid w:val="00C8439F"/>
    <w:rsid w:val="00C87932"/>
    <w:rsid w:val="00C918EC"/>
    <w:rsid w:val="00CA05EA"/>
    <w:rsid w:val="00CA5951"/>
    <w:rsid w:val="00CA6D9F"/>
    <w:rsid w:val="00CB2ED2"/>
    <w:rsid w:val="00CB71B5"/>
    <w:rsid w:val="00CC29E5"/>
    <w:rsid w:val="00CC34DC"/>
    <w:rsid w:val="00CD02AF"/>
    <w:rsid w:val="00CD172C"/>
    <w:rsid w:val="00CD1956"/>
    <w:rsid w:val="00CD36FB"/>
    <w:rsid w:val="00CE3455"/>
    <w:rsid w:val="00CE43FC"/>
    <w:rsid w:val="00CE6766"/>
    <w:rsid w:val="00CE6EB9"/>
    <w:rsid w:val="00CE7621"/>
    <w:rsid w:val="00CF03AC"/>
    <w:rsid w:val="00D04EA5"/>
    <w:rsid w:val="00D1221E"/>
    <w:rsid w:val="00D160AE"/>
    <w:rsid w:val="00D16440"/>
    <w:rsid w:val="00D20864"/>
    <w:rsid w:val="00D22DD4"/>
    <w:rsid w:val="00D23515"/>
    <w:rsid w:val="00D242D8"/>
    <w:rsid w:val="00D25672"/>
    <w:rsid w:val="00D30EBC"/>
    <w:rsid w:val="00D339B5"/>
    <w:rsid w:val="00D33E3E"/>
    <w:rsid w:val="00D4135F"/>
    <w:rsid w:val="00D42636"/>
    <w:rsid w:val="00D46EC2"/>
    <w:rsid w:val="00D47FA2"/>
    <w:rsid w:val="00D5091C"/>
    <w:rsid w:val="00D54449"/>
    <w:rsid w:val="00D601C5"/>
    <w:rsid w:val="00D71045"/>
    <w:rsid w:val="00D718D0"/>
    <w:rsid w:val="00D73768"/>
    <w:rsid w:val="00D7629E"/>
    <w:rsid w:val="00D76D7B"/>
    <w:rsid w:val="00D7773C"/>
    <w:rsid w:val="00D82ABF"/>
    <w:rsid w:val="00D932C2"/>
    <w:rsid w:val="00D96F14"/>
    <w:rsid w:val="00DA1242"/>
    <w:rsid w:val="00DA18D9"/>
    <w:rsid w:val="00DA5E4C"/>
    <w:rsid w:val="00DA6A6E"/>
    <w:rsid w:val="00DB1245"/>
    <w:rsid w:val="00DC140A"/>
    <w:rsid w:val="00DC1B70"/>
    <w:rsid w:val="00DD0692"/>
    <w:rsid w:val="00DD4BBF"/>
    <w:rsid w:val="00DE1635"/>
    <w:rsid w:val="00DE46D4"/>
    <w:rsid w:val="00DF06C1"/>
    <w:rsid w:val="00DF615A"/>
    <w:rsid w:val="00DF6AF7"/>
    <w:rsid w:val="00DF6CD8"/>
    <w:rsid w:val="00E07C70"/>
    <w:rsid w:val="00E157D5"/>
    <w:rsid w:val="00E327F6"/>
    <w:rsid w:val="00E354B5"/>
    <w:rsid w:val="00E36F77"/>
    <w:rsid w:val="00E45F13"/>
    <w:rsid w:val="00E478B7"/>
    <w:rsid w:val="00E5163B"/>
    <w:rsid w:val="00E52233"/>
    <w:rsid w:val="00E544A6"/>
    <w:rsid w:val="00E5563F"/>
    <w:rsid w:val="00E559EE"/>
    <w:rsid w:val="00E62989"/>
    <w:rsid w:val="00E62CC7"/>
    <w:rsid w:val="00E65A95"/>
    <w:rsid w:val="00E80426"/>
    <w:rsid w:val="00E8299D"/>
    <w:rsid w:val="00E935F1"/>
    <w:rsid w:val="00E97456"/>
    <w:rsid w:val="00EA0009"/>
    <w:rsid w:val="00EB091A"/>
    <w:rsid w:val="00EB42CF"/>
    <w:rsid w:val="00EB59A5"/>
    <w:rsid w:val="00EB7690"/>
    <w:rsid w:val="00EC35DC"/>
    <w:rsid w:val="00EC43A6"/>
    <w:rsid w:val="00ED0247"/>
    <w:rsid w:val="00ED0594"/>
    <w:rsid w:val="00ED0FA4"/>
    <w:rsid w:val="00ED6157"/>
    <w:rsid w:val="00EE1474"/>
    <w:rsid w:val="00EE148C"/>
    <w:rsid w:val="00EE2529"/>
    <w:rsid w:val="00EE5A52"/>
    <w:rsid w:val="00EF25C2"/>
    <w:rsid w:val="00EF28E9"/>
    <w:rsid w:val="00EF63E6"/>
    <w:rsid w:val="00EF73F4"/>
    <w:rsid w:val="00F03858"/>
    <w:rsid w:val="00F0541B"/>
    <w:rsid w:val="00F057AE"/>
    <w:rsid w:val="00F105DD"/>
    <w:rsid w:val="00F126C3"/>
    <w:rsid w:val="00F137B4"/>
    <w:rsid w:val="00F2405C"/>
    <w:rsid w:val="00F241B2"/>
    <w:rsid w:val="00F34142"/>
    <w:rsid w:val="00F34E01"/>
    <w:rsid w:val="00F37659"/>
    <w:rsid w:val="00F448EF"/>
    <w:rsid w:val="00F4690B"/>
    <w:rsid w:val="00F51DB6"/>
    <w:rsid w:val="00F52619"/>
    <w:rsid w:val="00F6365B"/>
    <w:rsid w:val="00F63DB6"/>
    <w:rsid w:val="00F746FC"/>
    <w:rsid w:val="00F810FD"/>
    <w:rsid w:val="00F83AE7"/>
    <w:rsid w:val="00F859ED"/>
    <w:rsid w:val="00F86EF5"/>
    <w:rsid w:val="00F95F3A"/>
    <w:rsid w:val="00FA5D0C"/>
    <w:rsid w:val="00FB378E"/>
    <w:rsid w:val="00FB4B81"/>
    <w:rsid w:val="00FB51D7"/>
    <w:rsid w:val="00FB6F37"/>
    <w:rsid w:val="00FB7D2A"/>
    <w:rsid w:val="00FC7B80"/>
    <w:rsid w:val="00FD2722"/>
    <w:rsid w:val="00FD3577"/>
    <w:rsid w:val="00FD6082"/>
    <w:rsid w:val="00FE13AB"/>
    <w:rsid w:val="00FE39C7"/>
    <w:rsid w:val="00FE51FD"/>
    <w:rsid w:val="00FF05EB"/>
    <w:rsid w:val="00FF6231"/>
    <w:rsid w:val="00FF7477"/>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AABD6"/>
  <w15:docId w15:val="{273AF29C-EBD1-41D0-A002-45ADF697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CF"/>
    <w:rPr>
      <w:rFonts w:eastAsia="Times New Roman"/>
      <w:sz w:val="24"/>
      <w:szCs w:val="24"/>
      <w:lang w:val="en-US" w:eastAsia="en-US"/>
    </w:rPr>
  </w:style>
  <w:style w:type="paragraph" w:styleId="Heading1">
    <w:name w:val="heading 1"/>
    <w:basedOn w:val="Normal"/>
    <w:next w:val="Normal"/>
    <w:link w:val="Heading1Char"/>
    <w:uiPriority w:val="9"/>
    <w:qFormat/>
    <w:rsid w:val="0078493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314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21995"/>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145759"/>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4CF"/>
    <w:pPr>
      <w:autoSpaceDE w:val="0"/>
      <w:autoSpaceDN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383D"/>
    <w:pPr>
      <w:ind w:firstLine="851"/>
      <w:jc w:val="both"/>
    </w:pPr>
    <w:rPr>
      <w:rFonts w:ascii=".VnTime" w:hAnsi=".VnTime"/>
      <w:sz w:val="28"/>
      <w:szCs w:val="20"/>
    </w:rPr>
  </w:style>
  <w:style w:type="character" w:customStyle="1" w:styleId="BodyTextIndentChar">
    <w:name w:val="Body Text Indent Char"/>
    <w:link w:val="BodyTextIndent"/>
    <w:rsid w:val="00D8383D"/>
    <w:rPr>
      <w:rFonts w:ascii=".VnTime" w:eastAsia="Times New Roman" w:hAnsi=".VnTime"/>
      <w:szCs w:val="20"/>
    </w:rPr>
  </w:style>
  <w:style w:type="paragraph" w:styleId="BalloonText">
    <w:name w:val="Balloon Text"/>
    <w:basedOn w:val="Normal"/>
    <w:link w:val="BalloonTextChar"/>
    <w:uiPriority w:val="99"/>
    <w:semiHidden/>
    <w:unhideWhenUsed/>
    <w:rsid w:val="00693CFF"/>
    <w:rPr>
      <w:rFonts w:ascii="Tahoma" w:hAnsi="Tahoma" w:cs="Tahoma"/>
      <w:sz w:val="16"/>
      <w:szCs w:val="16"/>
    </w:rPr>
  </w:style>
  <w:style w:type="character" w:customStyle="1" w:styleId="BalloonTextChar">
    <w:name w:val="Balloon Text Char"/>
    <w:link w:val="BalloonText"/>
    <w:uiPriority w:val="99"/>
    <w:semiHidden/>
    <w:rsid w:val="00693CFF"/>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3B008B"/>
    <w:pPr>
      <w:tabs>
        <w:tab w:val="center" w:pos="4513"/>
        <w:tab w:val="right" w:pos="9026"/>
      </w:tabs>
    </w:pPr>
  </w:style>
  <w:style w:type="character" w:customStyle="1" w:styleId="HeaderChar">
    <w:name w:val="Header Char"/>
    <w:link w:val="Header"/>
    <w:uiPriority w:val="99"/>
    <w:rsid w:val="003B008B"/>
    <w:rPr>
      <w:rFonts w:eastAsia="Times New Roman"/>
      <w:sz w:val="24"/>
      <w:szCs w:val="24"/>
      <w:lang w:val="en-US" w:eastAsia="en-US"/>
    </w:rPr>
  </w:style>
  <w:style w:type="paragraph" w:styleId="Footer">
    <w:name w:val="footer"/>
    <w:basedOn w:val="Normal"/>
    <w:link w:val="FooterChar"/>
    <w:uiPriority w:val="99"/>
    <w:unhideWhenUsed/>
    <w:rsid w:val="003B008B"/>
    <w:pPr>
      <w:tabs>
        <w:tab w:val="center" w:pos="4513"/>
        <w:tab w:val="right" w:pos="9026"/>
      </w:tabs>
    </w:pPr>
  </w:style>
  <w:style w:type="character" w:customStyle="1" w:styleId="FooterChar">
    <w:name w:val="Footer Char"/>
    <w:link w:val="Footer"/>
    <w:uiPriority w:val="99"/>
    <w:rsid w:val="003B008B"/>
    <w:rPr>
      <w:rFonts w:eastAsia="Times New Roman"/>
      <w:sz w:val="24"/>
      <w:szCs w:val="24"/>
      <w:lang w:val="en-US" w:eastAsia="en-US"/>
    </w:rPr>
  </w:style>
  <w:style w:type="paragraph" w:customStyle="1" w:styleId="Style3">
    <w:name w:val="Style3"/>
    <w:basedOn w:val="Normal"/>
    <w:rsid w:val="00CD7C75"/>
    <w:pPr>
      <w:spacing w:before="120"/>
      <w:ind w:firstLine="720"/>
      <w:jc w:val="both"/>
    </w:pPr>
    <w:rPr>
      <w:sz w:val="28"/>
      <w:szCs w:val="28"/>
    </w:rPr>
  </w:style>
  <w:style w:type="paragraph" w:styleId="ListParagraph">
    <w:name w:val="List Paragraph"/>
    <w:aliases w:val="Number Bullets,bullet,List Paragraph 1,My checklist,Bullet Number,List Paragraph1,Bullet List,FooterText,Paragraphe de liste,Use Case List Paragraph,Body Bullet,Ref,Bulleted Text,List bullet,List Bullet1,Figure_name,bu,HPL01,lp1,lp11,bu1"/>
    <w:basedOn w:val="Normal"/>
    <w:link w:val="ListParagraphChar"/>
    <w:uiPriority w:val="34"/>
    <w:qFormat/>
    <w:rsid w:val="00075EAE"/>
    <w:pPr>
      <w:spacing w:after="200" w:line="276" w:lineRule="auto"/>
      <w:ind w:left="720"/>
    </w:pPr>
    <w:rPr>
      <w:rFonts w:eastAsia="Calibri"/>
      <w:sz w:val="28"/>
      <w:szCs w:val="22"/>
      <w:lang w:val="en-AU"/>
    </w:rPr>
  </w:style>
  <w:style w:type="character" w:customStyle="1" w:styleId="ListParagraphChar">
    <w:name w:val="List Paragraph Char"/>
    <w:aliases w:val="Number Bullets Char,bullet Char,List Paragraph 1 Char,My checklist Char,Bullet Number Char,List Paragraph1 Char,Bullet List Char,FooterText Char,Paragraphe de liste Char,Use Case List Paragraph Char,Body Bullet Char,Ref Char,bu Char"/>
    <w:link w:val="ListParagraph"/>
    <w:uiPriority w:val="34"/>
    <w:qFormat/>
    <w:locked/>
    <w:rsid w:val="00075EAE"/>
    <w:rPr>
      <w:sz w:val="28"/>
      <w:szCs w:val="22"/>
      <w:lang w:val="en-AU" w:eastAsia="en-US"/>
    </w:rPr>
  </w:style>
  <w:style w:type="paragraph" w:styleId="Revision">
    <w:name w:val="Revision"/>
    <w:hidden/>
    <w:uiPriority w:val="99"/>
    <w:semiHidden/>
    <w:rsid w:val="00CE43FC"/>
    <w:rPr>
      <w:rFonts w:eastAsia="Times New Roman"/>
      <w:sz w:val="24"/>
      <w:szCs w:val="24"/>
      <w:lang w:val="en-US" w:eastAsia="en-US"/>
    </w:rPr>
  </w:style>
  <w:style w:type="paragraph" w:styleId="BodyTextIndent2">
    <w:name w:val="Body Text Indent 2"/>
    <w:basedOn w:val="Normal"/>
    <w:link w:val="BodyTextIndent2Char"/>
    <w:uiPriority w:val="99"/>
    <w:semiHidden/>
    <w:unhideWhenUsed/>
    <w:rsid w:val="005014B8"/>
    <w:pPr>
      <w:spacing w:after="120" w:line="480" w:lineRule="auto"/>
      <w:ind w:left="283"/>
    </w:pPr>
  </w:style>
  <w:style w:type="character" w:customStyle="1" w:styleId="BodyTextIndent2Char">
    <w:name w:val="Body Text Indent 2 Char"/>
    <w:basedOn w:val="DefaultParagraphFont"/>
    <w:link w:val="BodyTextIndent2"/>
    <w:uiPriority w:val="99"/>
    <w:semiHidden/>
    <w:rsid w:val="005014B8"/>
    <w:rPr>
      <w:rFonts w:eastAsia="Times New Roman"/>
      <w:sz w:val="24"/>
      <w:szCs w:val="24"/>
      <w:lang w:val="en-US" w:eastAsia="en-US"/>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5014B8"/>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5014B8"/>
    <w:rPr>
      <w:rFonts w:eastAsia="Times New Roman"/>
      <w:lang w:val="en-US" w:eastAsia="en-US"/>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f,Footnote tex,Bla"/>
    <w:basedOn w:val="DefaultParagraphFont"/>
    <w:link w:val="R"/>
    <w:uiPriority w:val="99"/>
    <w:unhideWhenUsed/>
    <w:qFormat/>
    <w:rsid w:val="005014B8"/>
    <w:rPr>
      <w:vertAlign w:val="superscript"/>
    </w:rPr>
  </w:style>
  <w:style w:type="paragraph" w:customStyle="1" w:styleId="R">
    <w:name w:val="R"/>
    <w:aliases w:val="4_, BVI f,BVI f"/>
    <w:basedOn w:val="Normal"/>
    <w:link w:val="FootnoteReference"/>
    <w:uiPriority w:val="99"/>
    <w:qFormat/>
    <w:rsid w:val="005014B8"/>
    <w:pPr>
      <w:spacing w:after="160" w:line="240" w:lineRule="exact"/>
    </w:pPr>
    <w:rPr>
      <w:rFonts w:eastAsia="Calibri"/>
      <w:sz w:val="20"/>
      <w:szCs w:val="20"/>
      <w:vertAlign w:val="superscript"/>
      <w:lang w:val="vi-VN" w:eastAsia="vi-VN"/>
    </w:rPr>
  </w:style>
  <w:style w:type="character" w:customStyle="1" w:styleId="Heading2Char">
    <w:name w:val="Heading 2 Char"/>
    <w:basedOn w:val="DefaultParagraphFont"/>
    <w:link w:val="Heading2"/>
    <w:uiPriority w:val="9"/>
    <w:rsid w:val="000F314B"/>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521995"/>
    <w:rPr>
      <w:rFonts w:asciiTheme="majorHAnsi" w:eastAsiaTheme="majorEastAsia" w:hAnsiTheme="majorHAnsi" w:cstheme="majorBidi"/>
      <w:color w:val="0A2F40" w:themeColor="accent1" w:themeShade="7F"/>
      <w:sz w:val="24"/>
      <w:szCs w:val="24"/>
      <w:lang w:val="en-US" w:eastAsia="en-US"/>
    </w:rPr>
  </w:style>
  <w:style w:type="paragraph" w:styleId="NormalWeb">
    <w:name w:val="Normal (Web)"/>
    <w:basedOn w:val="Normal"/>
    <w:uiPriority w:val="99"/>
    <w:unhideWhenUsed/>
    <w:rsid w:val="00825A12"/>
    <w:pPr>
      <w:spacing w:before="100" w:beforeAutospacing="1" w:after="100" w:afterAutospacing="1"/>
    </w:pPr>
    <w:rPr>
      <w:sz w:val="20"/>
      <w:szCs w:val="20"/>
    </w:rPr>
  </w:style>
  <w:style w:type="character" w:customStyle="1" w:styleId="Heading1Char">
    <w:name w:val="Heading 1 Char"/>
    <w:basedOn w:val="DefaultParagraphFont"/>
    <w:link w:val="Heading1"/>
    <w:uiPriority w:val="9"/>
    <w:rsid w:val="00784935"/>
    <w:rPr>
      <w:rFonts w:asciiTheme="majorHAnsi" w:eastAsiaTheme="majorEastAsia" w:hAnsiTheme="majorHAnsi" w:cstheme="majorBidi"/>
      <w:color w:val="0F4761" w:themeColor="accent1" w:themeShade="BF"/>
      <w:sz w:val="32"/>
      <w:szCs w:val="32"/>
      <w:lang w:val="en-US" w:eastAsia="en-US"/>
    </w:rPr>
  </w:style>
  <w:style w:type="character" w:customStyle="1" w:styleId="Bodytext2Bold">
    <w:name w:val="Body text (2) + Bold"/>
    <w:rsid w:val="00784935"/>
    <w:rPr>
      <w:rFonts w:ascii="Georgia" w:eastAsia="Georgia" w:hAnsi="Georgia" w:cs="Georgia"/>
      <w:b/>
      <w:bCs/>
      <w:i w:val="0"/>
      <w:iCs w:val="0"/>
      <w:smallCaps w:val="0"/>
      <w:strike w:val="0"/>
      <w:color w:val="000000"/>
      <w:spacing w:val="0"/>
      <w:w w:val="100"/>
      <w:position w:val="0"/>
      <w:sz w:val="26"/>
      <w:szCs w:val="26"/>
      <w:u w:val="none"/>
      <w:lang w:val="vi-VN" w:eastAsia="vi-VN" w:bidi="vi-VN"/>
    </w:rPr>
  </w:style>
  <w:style w:type="character" w:customStyle="1" w:styleId="Bodytext2115pt">
    <w:name w:val="Body text (2) + 11;5 pt"/>
    <w:rsid w:val="00784935"/>
    <w:rPr>
      <w:rFonts w:ascii="Georgia" w:eastAsia="Georgia" w:hAnsi="Georgia" w:cs="Georgia"/>
      <w:b w:val="0"/>
      <w:bCs w:val="0"/>
      <w:i w:val="0"/>
      <w:iCs w:val="0"/>
      <w:smallCaps w:val="0"/>
      <w:strike w:val="0"/>
      <w:color w:val="000000"/>
      <w:spacing w:val="0"/>
      <w:w w:val="100"/>
      <w:position w:val="0"/>
      <w:sz w:val="23"/>
      <w:szCs w:val="23"/>
      <w:u w:val="none"/>
      <w:lang w:val="vi-VN" w:eastAsia="vi-VN" w:bidi="vi-VN"/>
    </w:rPr>
  </w:style>
  <w:style w:type="character" w:customStyle="1" w:styleId="Bodytext2">
    <w:name w:val="Body text (2)_"/>
    <w:link w:val="Bodytext20"/>
    <w:rsid w:val="00784935"/>
    <w:rPr>
      <w:rFonts w:ascii="Georgia" w:eastAsia="Georgia" w:hAnsi="Georgia" w:cs="Georgia"/>
      <w:sz w:val="26"/>
      <w:szCs w:val="26"/>
      <w:shd w:val="clear" w:color="auto" w:fill="FFFFFF"/>
    </w:rPr>
  </w:style>
  <w:style w:type="paragraph" w:customStyle="1" w:styleId="Bodytext20">
    <w:name w:val="Body text (2)"/>
    <w:basedOn w:val="Normal"/>
    <w:link w:val="Bodytext2"/>
    <w:rsid w:val="00784935"/>
    <w:pPr>
      <w:widowControl w:val="0"/>
      <w:shd w:val="clear" w:color="auto" w:fill="FFFFFF"/>
      <w:spacing w:before="60" w:after="240" w:line="0" w:lineRule="atLeast"/>
      <w:jc w:val="both"/>
    </w:pPr>
    <w:rPr>
      <w:rFonts w:ascii="Georgia" w:eastAsia="Georgia" w:hAnsi="Georgia" w:cs="Georgia"/>
      <w:sz w:val="26"/>
      <w:szCs w:val="26"/>
      <w:lang w:val="vi-VN" w:eastAsia="vi-VN"/>
    </w:rPr>
  </w:style>
  <w:style w:type="character" w:styleId="Hyperlink">
    <w:name w:val="Hyperlink"/>
    <w:basedOn w:val="DefaultParagraphFont"/>
    <w:uiPriority w:val="99"/>
    <w:unhideWhenUsed/>
    <w:rsid w:val="00CE3455"/>
    <w:rPr>
      <w:color w:val="467886" w:themeColor="hyperlink"/>
      <w:u w:val="single"/>
    </w:rPr>
  </w:style>
  <w:style w:type="character" w:styleId="CommentReference">
    <w:name w:val="annotation reference"/>
    <w:basedOn w:val="DefaultParagraphFont"/>
    <w:uiPriority w:val="99"/>
    <w:semiHidden/>
    <w:unhideWhenUsed/>
    <w:rsid w:val="007850A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lang w:val="en-US" w:eastAsia="en-US"/>
    </w:rPr>
  </w:style>
  <w:style w:type="character" w:styleId="Strong">
    <w:name w:val="Strong"/>
    <w:basedOn w:val="DefaultParagraphFont"/>
    <w:uiPriority w:val="22"/>
    <w:qFormat/>
    <w:rsid w:val="001B5988"/>
    <w:rPr>
      <w:b/>
      <w:bCs/>
    </w:rPr>
  </w:style>
  <w:style w:type="character" w:styleId="UnresolvedMention">
    <w:name w:val="Unresolved Mention"/>
    <w:basedOn w:val="DefaultParagraphFont"/>
    <w:uiPriority w:val="99"/>
    <w:semiHidden/>
    <w:unhideWhenUsed/>
    <w:rsid w:val="00BD3473"/>
    <w:rPr>
      <w:color w:val="605E5C"/>
      <w:shd w:val="clear" w:color="auto" w:fill="E1DFDD"/>
    </w:rPr>
  </w:style>
  <w:style w:type="character" w:styleId="FollowedHyperlink">
    <w:name w:val="FollowedHyperlink"/>
    <w:basedOn w:val="DefaultParagraphFont"/>
    <w:uiPriority w:val="99"/>
    <w:semiHidden/>
    <w:unhideWhenUsed/>
    <w:rsid w:val="005B1847"/>
    <w:rPr>
      <w:color w:val="96607D" w:themeColor="followedHyperlink"/>
      <w:u w:val="single"/>
    </w:rPr>
  </w:style>
  <w:style w:type="character" w:customStyle="1" w:styleId="Heading4Char">
    <w:name w:val="Heading 4 Char"/>
    <w:basedOn w:val="DefaultParagraphFont"/>
    <w:link w:val="Heading4"/>
    <w:uiPriority w:val="9"/>
    <w:rsid w:val="00145759"/>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D5474-E604-4C54-AE10-FBDFFC69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5198</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quangnt</dc:creator>
  <cp:lastModifiedBy>Lê Văn Mười</cp:lastModifiedBy>
  <cp:revision>7</cp:revision>
  <cp:lastPrinted>2016-08-17T01:10:00Z</cp:lastPrinted>
  <dcterms:created xsi:type="dcterms:W3CDTF">2026-05-08T09:49:00Z</dcterms:created>
  <dcterms:modified xsi:type="dcterms:W3CDTF">2026-05-15T03:47:00Z</dcterms:modified>
</cp:coreProperties>
</file>